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70624504"/>
        <w:docPartObj>
          <w:docPartGallery w:val="Cover Pages"/>
          <w:docPartUnique/>
        </w:docPartObj>
      </w:sdtPr>
      <w:sdtEndPr>
        <w:rPr>
          <w:rFonts w:ascii="Times New Roman" w:hAnsi="Times New Roman"/>
        </w:rPr>
      </w:sdtEndPr>
      <w:sdtContent>
        <w:p w14:paraId="1A98596F" w14:textId="77777777" w:rsidR="00175CA8" w:rsidRPr="00D3452E" w:rsidRDefault="00175CA8" w:rsidP="00661516">
          <w:pPr>
            <w:spacing w:line="276" w:lineRule="auto"/>
          </w:pPr>
          <w:r w:rsidRPr="00D3452E">
            <w:rPr>
              <w:noProof/>
              <w:lang w:bidi="fr-FR"/>
            </w:rPr>
            <mc:AlternateContent>
              <mc:Choice Requires="wps">
                <w:drawing>
                  <wp:anchor distT="0" distB="0" distL="114300" distR="114300" simplePos="0" relativeHeight="251659264" behindDoc="0" locked="1" layoutInCell="1" allowOverlap="1" wp14:anchorId="152107D0" wp14:editId="2F356608">
                    <wp:simplePos x="0" y="0"/>
                    <wp:positionH relativeFrom="column">
                      <wp:posOffset>-60960</wp:posOffset>
                    </wp:positionH>
                    <wp:positionV relativeFrom="page">
                      <wp:posOffset>489585</wp:posOffset>
                    </wp:positionV>
                    <wp:extent cx="6019165" cy="9982200"/>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6019165" cy="9982200"/>
                            </a:xfrm>
                            <a:prstGeom prst="rect">
                              <a:avLst/>
                            </a:prstGeom>
                            <a:solidFill>
                              <a:schemeClr val="bg1"/>
                            </a:solidFill>
                            <a:ln w="6350">
                              <a:noFill/>
                            </a:ln>
                          </wps:spPr>
                          <wps:txbx>
                            <w:txbxContent>
                              <w:p w14:paraId="74E96F8E" w14:textId="77777777" w:rsidR="001E584B" w:rsidRDefault="001E584B" w:rsidP="00661516">
                                <w:pPr>
                                  <w:pStyle w:val="CoverNormal"/>
                                  <w:spacing w:after="240"/>
                                  <w:jc w:val="center"/>
                                </w:pPr>
                              </w:p>
                              <w:p w14:paraId="3A698B5B" w14:textId="77777777" w:rsidR="001E584B" w:rsidRDefault="001E584B" w:rsidP="00661516">
                                <w:pPr>
                                  <w:pStyle w:val="CoverNormal"/>
                                  <w:spacing w:after="240"/>
                                  <w:jc w:val="center"/>
                                </w:pPr>
                              </w:p>
                              <w:p w14:paraId="7E13E3C4" w14:textId="1F6E4C09" w:rsidR="001E584B" w:rsidRDefault="00297AF9" w:rsidP="00661516">
                                <w:pPr>
                                  <w:pStyle w:val="CoverSeriesTitlePublication"/>
                                  <w:jc w:val="center"/>
                                </w:pPr>
                                <w:sdt>
                                  <w:sdtPr>
                                    <w:alias w:val="Series Title"/>
                                    <w:tag w:val="Series Title"/>
                                    <w:id w:val="-855420674"/>
                                  </w:sdtPr>
                                  <w:sdtEndPr/>
                                  <w:sdtContent>
                                    <w:r w:rsidR="001E584B" w:rsidRPr="00090E74">
                                      <w:rPr>
                                        <w:lang w:bidi="fr-FR"/>
                                      </w:rPr>
                                      <w:t xml:space="preserve"> </w:t>
                                    </w:r>
                                  </w:sdtContent>
                                </w:sdt>
                              </w:p>
                              <w:p w14:paraId="5C15E1DE" w14:textId="77777777" w:rsidR="001E584B" w:rsidRDefault="001E584B" w:rsidP="00661516">
                                <w:pPr>
                                  <w:pStyle w:val="CoverNormal"/>
                                  <w:jc w:val="center"/>
                                </w:pPr>
                              </w:p>
                              <w:p w14:paraId="4E86F1AA" w14:textId="77777777" w:rsidR="001E584B" w:rsidRDefault="001E584B" w:rsidP="00661516">
                                <w:pPr>
                                  <w:pStyle w:val="CoverNormal"/>
                                  <w:jc w:val="center"/>
                                </w:pPr>
                              </w:p>
                              <w:p w14:paraId="29F1F5CE" w14:textId="77777777" w:rsidR="001E584B" w:rsidRDefault="001E584B" w:rsidP="00661516">
                                <w:pPr>
                                  <w:pStyle w:val="CoverNormal"/>
                                  <w:jc w:val="center"/>
                                </w:pPr>
                              </w:p>
                              <w:p w14:paraId="426F9AA8" w14:textId="77777777" w:rsidR="001E584B" w:rsidRDefault="001E584B" w:rsidP="00661516">
                                <w:pPr>
                                  <w:pStyle w:val="CoverNormal"/>
                                  <w:jc w:val="center"/>
                                </w:pPr>
                              </w:p>
                              <w:p w14:paraId="4E8CE90F" w14:textId="77777777" w:rsidR="001E584B" w:rsidRDefault="001E584B" w:rsidP="00661516">
                                <w:pPr>
                                  <w:pStyle w:val="CoverNormal"/>
                                  <w:jc w:val="center"/>
                                </w:pPr>
                              </w:p>
                              <w:p w14:paraId="0ED5CFFA" w14:textId="77777777" w:rsidR="001E584B" w:rsidRPr="008E334D" w:rsidRDefault="001E584B" w:rsidP="00661516">
                                <w:pPr>
                                  <w:pStyle w:val="CoverNormal"/>
                                  <w:jc w:val="center"/>
                                </w:pPr>
                              </w:p>
                              <w:p w14:paraId="3B985009" w14:textId="70ECCBAB" w:rsidR="001E584B" w:rsidRPr="008E334D" w:rsidRDefault="00297AF9" w:rsidP="00175CA8">
                                <w:pPr>
                                  <w:pStyle w:val="CoverTitlePublication"/>
                                  <w:spacing w:after="800"/>
                                </w:pPr>
                                <w:sdt>
                                  <w:sdtPr>
                                    <w:alias w:val="Document Title"/>
                                    <w:tag w:val="txtDocTitle"/>
                                    <w:id w:val="-1963103887"/>
                                    <w:dataBinding w:prefixMappings="xmlns:ns0='http://purl.org/dc/elements/1.1/' xmlns:ns1='http://schemas.openxmlformats.org/package/2006/metadata/core-properties' " w:xpath="/ns1:coreProperties[1]/ns0:title[1]" w:storeItemID="{6C3C8BC8-F283-45AE-878A-BAB7291924A1}"/>
                                    <w:text w:multiLine="1"/>
                                  </w:sdtPr>
                                  <w:sdtEndPr/>
                                  <w:sdtContent>
                                    <w:r w:rsidR="001E584B" w:rsidRPr="00A5284A">
                                      <w:t>Une reprise efficace et équitable de l’éducation – 10 principes établis pa</w:t>
                                    </w:r>
                                    <w:r w:rsidR="001E584B">
                                      <w:t>r</w:t>
                                    </w:r>
                                    <w:r w:rsidR="001E584B" w:rsidRPr="00A5284A">
                                      <w:t xml:space="preserve"> l’IE et l’OCDE</w:t>
                                    </w:r>
                                  </w:sdtContent>
                                </w:sdt>
                              </w:p>
                              <w:p w14:paraId="5D43352C" w14:textId="2A2BF8F0" w:rsidR="001E584B" w:rsidRPr="00E92039" w:rsidRDefault="00297AF9" w:rsidP="00661516">
                                <w:pPr>
                                  <w:pStyle w:val="CoverSubtitlePublication"/>
                                </w:pPr>
                                <w:sdt>
                                  <w:sdtPr>
                                    <w:alias w:val="Document Subtitle"/>
                                    <w:tag w:val="txtDocSubtitle"/>
                                    <w:id w:val="-1399041348"/>
                                    <w:dataBinding w:prefixMappings="xmlns:ns0='http://purl.org/dc/elements/1.1/' xmlns:ns1='http://schemas.openxmlformats.org/package/2006/metadata/core-properties' " w:xpath="/ns1:coreProperties[1]/ns0:subject[1]" w:storeItemID="{6C3C8BC8-F283-45AE-878A-BAB7291924A1}"/>
                                    <w:text w:multiLine="1"/>
                                  </w:sdtPr>
                                  <w:sdtEndPr/>
                                  <w:sdtContent>
                                    <w:r w:rsidR="001E584B">
                                      <w:t>10 principes</w:t>
                                    </w:r>
                                  </w:sdtContent>
                                </w:sdt>
                              </w:p>
                              <w:p w14:paraId="765BB2E5" w14:textId="77777777" w:rsidR="001E584B" w:rsidRDefault="001E584B" w:rsidP="00661516">
                                <w:pPr>
                                  <w:pStyle w:val="CoverNormal"/>
                                  <w:jc w:val="center"/>
                                </w:pPr>
                              </w:p>
                              <w:p w14:paraId="36EAFA32" w14:textId="77777777" w:rsidR="001E584B" w:rsidRDefault="001E584B" w:rsidP="00661516">
                                <w:pPr>
                                  <w:pStyle w:val="CoverNormal"/>
                                  <w:jc w:val="center"/>
                                </w:pPr>
                              </w:p>
                              <w:p w14:paraId="6F8D2581" w14:textId="2F614384" w:rsidR="001E584B" w:rsidRDefault="001E584B" w:rsidP="00661516">
                                <w:pPr>
                                  <w:pStyle w:val="CoverNormal"/>
                                  <w:jc w:val="center"/>
                                </w:pPr>
                                <w:proofErr w:type="gramStart"/>
                                <w:r>
                                  <w:rPr>
                                    <w:lang w:bidi="fr-FR"/>
                                  </w:rPr>
                                  <w:t>de</w:t>
                                </w:r>
                                <w:proofErr w:type="gramEnd"/>
                              </w:p>
                              <w:p w14:paraId="14E4C1CC" w14:textId="63FAC3DF" w:rsidR="001E584B" w:rsidRDefault="001E584B" w:rsidP="00661516">
                                <w:pPr>
                                  <w:pStyle w:val="CoverNormal"/>
                                  <w:jc w:val="center"/>
                                </w:pPr>
                              </w:p>
                              <w:p w14:paraId="263928BE" w14:textId="2736B309" w:rsidR="001E584B" w:rsidRDefault="001E584B" w:rsidP="00661516">
                                <w:pPr>
                                  <w:pStyle w:val="CoverNormal"/>
                                  <w:jc w:val="center"/>
                                </w:pPr>
                                <w:proofErr w:type="gramStart"/>
                                <w:r>
                                  <w:rPr>
                                    <w:lang w:bidi="fr-FR"/>
                                  </w:rPr>
                                  <w:t>l’OCDE</w:t>
                                </w:r>
                                <w:proofErr w:type="gramEnd"/>
                                <w:r>
                                  <w:rPr>
                                    <w:lang w:bidi="fr-FR"/>
                                  </w:rPr>
                                  <w:t xml:space="preserve"> et l’IE</w:t>
                                </w:r>
                              </w:p>
                              <w:p w14:paraId="31B5C932" w14:textId="77777777" w:rsidR="001E584B" w:rsidRDefault="001E584B" w:rsidP="00661516">
                                <w:pPr>
                                  <w:pStyle w:val="CoverNormal"/>
                                  <w:jc w:val="center"/>
                                </w:pPr>
                              </w:p>
                              <w:p w14:paraId="25F45A28" w14:textId="77777777" w:rsidR="001E584B" w:rsidRDefault="001E584B" w:rsidP="00661516">
                                <w:pPr>
                                  <w:pStyle w:val="CoverNormal"/>
                                  <w:jc w:val="center"/>
                                </w:pPr>
                              </w:p>
                              <w:p w14:paraId="2A3385F3" w14:textId="6F5841ED" w:rsidR="001E584B" w:rsidRPr="00924A03" w:rsidRDefault="001E584B" w:rsidP="00175CA8">
                                <w:pPr>
                                  <w:pStyle w:val="CoverNormal"/>
                                  <w:jc w:val="center"/>
                                </w:pPr>
                                <w:r w:rsidRPr="00924A03">
                                  <w:rPr>
                                    <w:lang w:bidi="fr-FR"/>
                                  </w:rPr>
                                  <w:t>Projet fusionné</w:t>
                                </w:r>
                              </w:p>
                              <w:p w14:paraId="15A697D1" w14:textId="11D2E704" w:rsidR="001E584B" w:rsidRDefault="001E584B" w:rsidP="00175CA8">
                                <w:pPr>
                                  <w:pStyle w:val="CoverNormal"/>
                                  <w:jc w:val="center"/>
                                </w:pPr>
                                <w:r>
                                  <w:rPr>
                                    <w:lang w:bidi="fr-FR"/>
                                  </w:rPr>
                                  <w:t>20 mars 2021</w:t>
                                </w:r>
                              </w:p>
                              <w:p w14:paraId="331AECEA" w14:textId="77777777" w:rsidR="001E584B" w:rsidRDefault="001E584B" w:rsidP="00661516">
                                <w:pPr>
                                  <w:pStyle w:val="CoverNormal"/>
                                  <w:jc w:val="center"/>
                                </w:pPr>
                              </w:p>
                              <w:p w14:paraId="2AFFAB7E" w14:textId="77777777" w:rsidR="001E584B" w:rsidRDefault="001E584B" w:rsidP="00661516">
                                <w:pPr>
                                  <w:pStyle w:val="CoverNormal"/>
                                  <w:jc w:val="center"/>
                                </w:pPr>
                              </w:p>
                              <w:p w14:paraId="2D62DC7D" w14:textId="77777777" w:rsidR="001E584B" w:rsidRDefault="001E584B" w:rsidP="00661516">
                                <w:pPr>
                                  <w:pStyle w:val="CoverNormal"/>
                                  <w:jc w:val="center"/>
                                </w:pPr>
                              </w:p>
                              <w:p w14:paraId="44B16779" w14:textId="77777777" w:rsidR="001E584B" w:rsidRDefault="001E584B" w:rsidP="00661516">
                                <w:pPr>
                                  <w:pStyle w:val="CoverNormal"/>
                                  <w:jc w:val="center"/>
                                </w:pPr>
                              </w:p>
                              <w:p w14:paraId="64DB7268" w14:textId="77777777" w:rsidR="001E584B" w:rsidRDefault="001E584B" w:rsidP="00661516">
                                <w:pPr>
                                  <w:pStyle w:val="CoverNormal"/>
                                  <w:jc w:val="center"/>
                                </w:pPr>
                              </w:p>
                              <w:p w14:paraId="51C0FDBC" w14:textId="77777777" w:rsidR="001E584B" w:rsidRDefault="001E584B" w:rsidP="00661516">
                                <w:pPr>
                                  <w:pStyle w:val="CoverNormal"/>
                                  <w:jc w:val="center"/>
                                </w:pPr>
                              </w:p>
                              <w:p w14:paraId="73D2FC18" w14:textId="77777777" w:rsidR="001E584B" w:rsidRDefault="001E584B" w:rsidP="00661516">
                                <w:pPr>
                                  <w:pStyle w:val="CoverNormal"/>
                                  <w:jc w:val="center"/>
                                </w:pPr>
                              </w:p>
                              <w:p w14:paraId="001E2D04" w14:textId="77777777" w:rsidR="001E584B" w:rsidRDefault="001E584B" w:rsidP="00661516">
                                <w:pPr>
                                  <w:pStyle w:val="CoverNormal"/>
                                  <w:jc w:val="center"/>
                                </w:pPr>
                              </w:p>
                              <w:p w14:paraId="20B1B584" w14:textId="77777777" w:rsidR="001E584B" w:rsidRDefault="001E584B" w:rsidP="00661516">
                                <w:pPr>
                                  <w:pStyle w:val="CoverNormal"/>
                                  <w:jc w:val="center"/>
                                </w:pPr>
                              </w:p>
                              <w:p w14:paraId="5C8D523C" w14:textId="77777777" w:rsidR="001E584B" w:rsidRDefault="001E584B" w:rsidP="00661516">
                                <w:pPr>
                                  <w:pStyle w:val="CoverNormal"/>
                                  <w:jc w:val="center"/>
                                </w:pPr>
                              </w:p>
                              <w:p w14:paraId="3498A263" w14:textId="77777777" w:rsidR="001E584B" w:rsidRDefault="001E584B" w:rsidP="00661516">
                                <w:pPr>
                                  <w:pStyle w:val="CoverNormal"/>
                                  <w:jc w:val="center"/>
                                </w:pPr>
                              </w:p>
                              <w:p w14:paraId="5E9A7A98" w14:textId="77777777" w:rsidR="001E584B" w:rsidRDefault="001E584B" w:rsidP="00661516">
                                <w:pPr>
                                  <w:pStyle w:val="CoverNormal"/>
                                  <w:jc w:val="center"/>
                                </w:pPr>
                              </w:p>
                              <w:p w14:paraId="675DEFC2" w14:textId="77777777" w:rsidR="001E584B" w:rsidRDefault="001E584B" w:rsidP="00661516">
                                <w:pPr>
                                  <w:pStyle w:val="CoverNormal"/>
                                  <w:jc w:val="center"/>
                                </w:pPr>
                              </w:p>
                              <w:p w14:paraId="19C3DDD0" w14:textId="77777777" w:rsidR="001E584B" w:rsidRDefault="001E584B" w:rsidP="00661516">
                                <w:pPr>
                                  <w:pStyle w:val="CoverNormal"/>
                                  <w:jc w:val="center"/>
                                </w:pPr>
                              </w:p>
                              <w:p w14:paraId="0A214377" w14:textId="77777777" w:rsidR="001E584B" w:rsidRDefault="001E584B" w:rsidP="00661516">
                                <w:pPr>
                                  <w:pStyle w:val="CoverNormal"/>
                                  <w:jc w:val="center"/>
                                </w:pPr>
                              </w:p>
                              <w:p w14:paraId="3925E9F9" w14:textId="77777777" w:rsidR="001E584B" w:rsidRDefault="001E584B" w:rsidP="00661516">
                                <w:pPr>
                                  <w:pStyle w:val="CoverNormal"/>
                                  <w:jc w:val="center"/>
                                </w:pPr>
                              </w:p>
                              <w:p w14:paraId="7E8DC2B4" w14:textId="77777777" w:rsidR="001E584B" w:rsidRDefault="001E584B" w:rsidP="00661516">
                                <w:pPr>
                                  <w:pStyle w:val="CoverNormal"/>
                                  <w:jc w:val="center"/>
                                </w:pPr>
                              </w:p>
                              <w:p w14:paraId="1F737E03" w14:textId="3DF2C465" w:rsidR="001E584B" w:rsidRDefault="001E584B" w:rsidP="00661516">
                                <w:pPr>
                                  <w:pStyle w:val="CoverNormal"/>
                                  <w:jc w:val="center"/>
                                </w:pPr>
                              </w:p>
                              <w:p w14:paraId="25653075" w14:textId="3600C335" w:rsidR="001E584B" w:rsidRDefault="001E584B" w:rsidP="00661516">
                                <w:pPr>
                                  <w:pStyle w:val="CoverNormal"/>
                                  <w:jc w:val="center"/>
                                </w:pPr>
                              </w:p>
                              <w:p w14:paraId="564DA5C3" w14:textId="7BDD1E0D" w:rsidR="001E584B" w:rsidRDefault="001E584B" w:rsidP="00661516">
                                <w:pPr>
                                  <w:pStyle w:val="CoverNormal"/>
                                  <w:jc w:val="center"/>
                                </w:pPr>
                              </w:p>
                              <w:p w14:paraId="6CD6CE5C" w14:textId="07B78028" w:rsidR="001E584B" w:rsidRDefault="001E584B" w:rsidP="00661516">
                                <w:pPr>
                                  <w:pStyle w:val="CoverNormal"/>
                                  <w:jc w:val="center"/>
                                </w:pPr>
                              </w:p>
                              <w:p w14:paraId="25BC4531" w14:textId="687BD1E2" w:rsidR="001E584B" w:rsidRDefault="001E584B" w:rsidP="00661516">
                                <w:pPr>
                                  <w:pStyle w:val="CoverNormal"/>
                                  <w:jc w:val="center"/>
                                </w:pPr>
                              </w:p>
                              <w:p w14:paraId="712FB3EC" w14:textId="77777777" w:rsidR="001E584B" w:rsidRDefault="001E584B" w:rsidP="00661516">
                                <w:pPr>
                                  <w:pStyle w:val="CoverNormal"/>
                                  <w:jc w:val="center"/>
                                </w:pPr>
                              </w:p>
                              <w:p w14:paraId="6AC0F57E" w14:textId="77777777" w:rsidR="001E584B" w:rsidRDefault="001E584B" w:rsidP="00661516">
                                <w:pPr>
                                  <w:pStyle w:val="CoverNormal"/>
                                  <w:jc w:val="center"/>
                                </w:pPr>
                              </w:p>
                              <w:p w14:paraId="0FE9E96F" w14:textId="6EAA1217" w:rsidR="001E584B" w:rsidRPr="00310112" w:rsidRDefault="00297AF9" w:rsidP="00134A95">
                                <w:pPr>
                                  <w:pStyle w:val="CoverNormal"/>
                                  <w:jc w:val="center"/>
                                </w:pPr>
                                <w:sdt>
                                  <w:sdtPr>
                                    <w:rPr>
                                      <w:noProof/>
                                      <w:lang w:eastAsia="ko-KR"/>
                                    </w:rPr>
                                    <w:alias w:val="OECD logo"/>
                                    <w:tag w:val="imgOECDLogo"/>
                                    <w:id w:val="1328472876"/>
                                    <w:picture/>
                                  </w:sdtPr>
                                  <w:sdtEndPr/>
                                  <w:sdtContent>
                                    <w:r w:rsidR="001E584B">
                                      <w:rPr>
                                        <w:noProof/>
                                        <w:lang w:bidi="fr-FR"/>
                                      </w:rPr>
                                      <w:drawing>
                                        <wp:inline distT="0" distB="0" distL="0" distR="0" wp14:anchorId="47A5F97C" wp14:editId="22C99D06">
                                          <wp:extent cx="1641361" cy="392567"/>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sdtContent>
                                </w:sdt>
                                <w:r w:rsidR="001E584B">
                                  <w:rPr>
                                    <w:lang w:bidi="fr-FR"/>
                                  </w:rPr>
                                  <w:tab/>
                                </w:r>
                                <w:r w:rsidR="001E584B">
                                  <w:rPr>
                                    <w:lang w:bidi="fr-FR"/>
                                  </w:rPr>
                                  <w:tab/>
                                </w:r>
                                <w:r w:rsidR="001E584B">
                                  <w:rPr>
                                    <w:lang w:bidi="fr-FR"/>
                                  </w:rPr>
                                  <w:tab/>
                                </w:r>
                                <w:r w:rsidR="001E584B">
                                  <w:rPr>
                                    <w:lang w:bidi="fr-FR"/>
                                  </w:rPr>
                                  <w:tab/>
                                </w:r>
                                <w:r w:rsidR="001E584B">
                                  <w:rPr>
                                    <w:lang w:bidi="fr-FR"/>
                                  </w:rPr>
                                  <w:tab/>
                                </w:r>
                                <w:r w:rsidR="001E584B">
                                  <w:rPr>
                                    <w:lang w:bidi="fr-FR"/>
                                  </w:rPr>
                                  <w:tab/>
                                </w:r>
                                <w:r w:rsidR="001E584B">
                                  <w:rPr>
                                    <w:lang w:bidi="fr-FR"/>
                                  </w:rPr>
                                  <w:tab/>
                                </w:r>
                                <w:r w:rsidR="001E584B">
                                  <w:rPr>
                                    <w:noProof/>
                                    <w:lang w:bidi="fr-FR"/>
                                  </w:rPr>
                                  <w:drawing>
                                    <wp:inline distT="0" distB="0" distL="0" distR="0" wp14:anchorId="7456833F" wp14:editId="35F606D1">
                                      <wp:extent cx="556824" cy="556824"/>
                                      <wp:effectExtent l="0" t="0" r="0" b="0"/>
                                      <wp:docPr id="6" name="Picture 6" descr="Education International's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International's stre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530" cy="5745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107D0" id="_x0000_t202" coordsize="21600,21600" o:spt="202" path="m,l,21600r21600,l21600,xe">
                    <v:stroke joinstyle="miter"/>
                    <v:path gradientshapeok="t" o:connecttype="rect"/>
                  </v:shapetype>
                  <v:shape id="Text Box 14" o:spid="_x0000_s1026" type="#_x0000_t202" style="position:absolute;left:0;text-align:left;margin-left:-4.8pt;margin-top:38.55pt;width:473.9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" fillcolor="white [3212]" stroked="f" strokeweight=".5pt">
                    <v:textbox>
                      <w:txbxContent>
                        <w:p w14:paraId="74E96F8E" w14:textId="77777777" w:rsidR="001E584B" w:rsidRDefault="001E584B" w:rsidP="00661516">
                          <w:pPr>
                            <w:pStyle w:val="CoverNormal"/>
                            <w:spacing w:after="240"/>
                            <w:jc w:val="center"/>
                          </w:pPr>
                        </w:p>
                        <w:p w14:paraId="3A698B5B" w14:textId="77777777" w:rsidR="001E584B" w:rsidRDefault="001E584B" w:rsidP="00661516">
                          <w:pPr>
                            <w:pStyle w:val="CoverNormal"/>
                            <w:spacing w:after="240"/>
                            <w:jc w:val="center"/>
                          </w:pPr>
                        </w:p>
                        <w:p w14:paraId="7E13E3C4" w14:textId="1F6E4C09" w:rsidR="001E584B" w:rsidRDefault="00297AF9" w:rsidP="00661516">
                          <w:pPr>
                            <w:pStyle w:val="CoverSeriesTitlePublication"/>
                            <w:jc w:val="center"/>
                          </w:pPr>
                          <w:sdt>
                            <w:sdtPr>
                              <w:alias w:val="Series Title"/>
                              <w:tag w:val="Series Title"/>
                              <w:id w:val="-855420674"/>
                            </w:sdtPr>
                            <w:sdtEndPr/>
                            <w:sdtContent>
                              <w:r w:rsidR="001E584B" w:rsidRPr="00090E74">
                                <w:rPr>
                                  <w:lang w:bidi="fr-FR"/>
                                </w:rPr>
                                <w:t xml:space="preserve"> </w:t>
                              </w:r>
                            </w:sdtContent>
                          </w:sdt>
                        </w:p>
                        <w:p w14:paraId="5C15E1DE" w14:textId="77777777" w:rsidR="001E584B" w:rsidRDefault="001E584B" w:rsidP="00661516">
                          <w:pPr>
                            <w:pStyle w:val="CoverNormal"/>
                            <w:jc w:val="center"/>
                          </w:pPr>
                        </w:p>
                        <w:p w14:paraId="4E86F1AA" w14:textId="77777777" w:rsidR="001E584B" w:rsidRDefault="001E584B" w:rsidP="00661516">
                          <w:pPr>
                            <w:pStyle w:val="CoverNormal"/>
                            <w:jc w:val="center"/>
                          </w:pPr>
                        </w:p>
                        <w:p w14:paraId="29F1F5CE" w14:textId="77777777" w:rsidR="001E584B" w:rsidRDefault="001E584B" w:rsidP="00661516">
                          <w:pPr>
                            <w:pStyle w:val="CoverNormal"/>
                            <w:jc w:val="center"/>
                          </w:pPr>
                        </w:p>
                        <w:p w14:paraId="426F9AA8" w14:textId="77777777" w:rsidR="001E584B" w:rsidRDefault="001E584B" w:rsidP="00661516">
                          <w:pPr>
                            <w:pStyle w:val="CoverNormal"/>
                            <w:jc w:val="center"/>
                          </w:pPr>
                        </w:p>
                        <w:p w14:paraId="4E8CE90F" w14:textId="77777777" w:rsidR="001E584B" w:rsidRDefault="001E584B" w:rsidP="00661516">
                          <w:pPr>
                            <w:pStyle w:val="CoverNormal"/>
                            <w:jc w:val="center"/>
                          </w:pPr>
                        </w:p>
                        <w:p w14:paraId="0ED5CFFA" w14:textId="77777777" w:rsidR="001E584B" w:rsidRPr="008E334D" w:rsidRDefault="001E584B" w:rsidP="00661516">
                          <w:pPr>
                            <w:pStyle w:val="CoverNormal"/>
                            <w:jc w:val="center"/>
                          </w:pPr>
                        </w:p>
                        <w:p w14:paraId="3B985009" w14:textId="70ECCBAB" w:rsidR="001E584B" w:rsidRPr="008E334D" w:rsidRDefault="00297AF9" w:rsidP="00175CA8">
                          <w:pPr>
                            <w:pStyle w:val="CoverTitlePublication"/>
                            <w:spacing w:after="800"/>
                          </w:pPr>
                          <w:sdt>
                            <w:sdtPr>
                              <w:alias w:val="Document Title"/>
                              <w:tag w:val="txtDocTitle"/>
                              <w:id w:val="-1963103887"/>
                              <w:dataBinding w:prefixMappings="xmlns:ns0='http://purl.org/dc/elements/1.1/' xmlns:ns1='http://schemas.openxmlformats.org/package/2006/metadata/core-properties' " w:xpath="/ns1:coreProperties[1]/ns0:title[1]" w:storeItemID="{6C3C8BC8-F283-45AE-878A-BAB7291924A1}"/>
                              <w:text w:multiLine="1"/>
                            </w:sdtPr>
                            <w:sdtEndPr/>
                            <w:sdtContent>
                              <w:r w:rsidR="001E584B" w:rsidRPr="00A5284A">
                                <w:t>Une reprise efficace et équitable de l’éducation – 10 principes établis pa</w:t>
                              </w:r>
                              <w:r w:rsidR="001E584B">
                                <w:t>r</w:t>
                              </w:r>
                              <w:r w:rsidR="001E584B" w:rsidRPr="00A5284A">
                                <w:t xml:space="preserve"> l’IE et l’OCDE</w:t>
                              </w:r>
                            </w:sdtContent>
                          </w:sdt>
                        </w:p>
                        <w:p w14:paraId="5D43352C" w14:textId="2A2BF8F0" w:rsidR="001E584B" w:rsidRPr="00E92039" w:rsidRDefault="00297AF9" w:rsidP="00661516">
                          <w:pPr>
                            <w:pStyle w:val="CoverSubtitlePublication"/>
                          </w:pPr>
                          <w:sdt>
                            <w:sdtPr>
                              <w:alias w:val="Document Subtitle"/>
                              <w:tag w:val="txtDocSubtitle"/>
                              <w:id w:val="-1399041348"/>
                              <w:dataBinding w:prefixMappings="xmlns:ns0='http://purl.org/dc/elements/1.1/' xmlns:ns1='http://schemas.openxmlformats.org/package/2006/metadata/core-properties' " w:xpath="/ns1:coreProperties[1]/ns0:subject[1]" w:storeItemID="{6C3C8BC8-F283-45AE-878A-BAB7291924A1}"/>
                              <w:text w:multiLine="1"/>
                            </w:sdtPr>
                            <w:sdtEndPr/>
                            <w:sdtContent>
                              <w:r w:rsidR="001E584B">
                                <w:t>10 principes</w:t>
                              </w:r>
                            </w:sdtContent>
                          </w:sdt>
                        </w:p>
                        <w:p w14:paraId="765BB2E5" w14:textId="77777777" w:rsidR="001E584B" w:rsidRDefault="001E584B" w:rsidP="00661516">
                          <w:pPr>
                            <w:pStyle w:val="CoverNormal"/>
                            <w:jc w:val="center"/>
                          </w:pPr>
                        </w:p>
                        <w:p w14:paraId="36EAFA32" w14:textId="77777777" w:rsidR="001E584B" w:rsidRDefault="001E584B" w:rsidP="00661516">
                          <w:pPr>
                            <w:pStyle w:val="CoverNormal"/>
                            <w:jc w:val="center"/>
                          </w:pPr>
                        </w:p>
                        <w:p w14:paraId="6F8D2581" w14:textId="2F614384" w:rsidR="001E584B" w:rsidRDefault="001E584B" w:rsidP="00661516">
                          <w:pPr>
                            <w:pStyle w:val="CoverNormal"/>
                            <w:jc w:val="center"/>
                          </w:pPr>
                          <w:proofErr w:type="gramStart"/>
                          <w:r>
                            <w:rPr>
                              <w:lang w:bidi="fr-FR"/>
                            </w:rPr>
                            <w:t>de</w:t>
                          </w:r>
                          <w:proofErr w:type="gramEnd"/>
                        </w:p>
                        <w:p w14:paraId="14E4C1CC" w14:textId="63FAC3DF" w:rsidR="001E584B" w:rsidRDefault="001E584B" w:rsidP="00661516">
                          <w:pPr>
                            <w:pStyle w:val="CoverNormal"/>
                            <w:jc w:val="center"/>
                          </w:pPr>
                        </w:p>
                        <w:p w14:paraId="263928BE" w14:textId="2736B309" w:rsidR="001E584B" w:rsidRDefault="001E584B" w:rsidP="00661516">
                          <w:pPr>
                            <w:pStyle w:val="CoverNormal"/>
                            <w:jc w:val="center"/>
                          </w:pPr>
                          <w:proofErr w:type="gramStart"/>
                          <w:r>
                            <w:rPr>
                              <w:lang w:bidi="fr-FR"/>
                            </w:rPr>
                            <w:t>l’OCDE</w:t>
                          </w:r>
                          <w:proofErr w:type="gramEnd"/>
                          <w:r>
                            <w:rPr>
                              <w:lang w:bidi="fr-FR"/>
                            </w:rPr>
                            <w:t xml:space="preserve"> et l’IE</w:t>
                          </w:r>
                        </w:p>
                        <w:p w14:paraId="31B5C932" w14:textId="77777777" w:rsidR="001E584B" w:rsidRDefault="001E584B" w:rsidP="00661516">
                          <w:pPr>
                            <w:pStyle w:val="CoverNormal"/>
                            <w:jc w:val="center"/>
                          </w:pPr>
                        </w:p>
                        <w:p w14:paraId="25F45A28" w14:textId="77777777" w:rsidR="001E584B" w:rsidRDefault="001E584B" w:rsidP="00661516">
                          <w:pPr>
                            <w:pStyle w:val="CoverNormal"/>
                            <w:jc w:val="center"/>
                          </w:pPr>
                        </w:p>
                        <w:p w14:paraId="2A3385F3" w14:textId="6F5841ED" w:rsidR="001E584B" w:rsidRPr="00924A03" w:rsidRDefault="001E584B" w:rsidP="00175CA8">
                          <w:pPr>
                            <w:pStyle w:val="CoverNormal"/>
                            <w:jc w:val="center"/>
                          </w:pPr>
                          <w:r w:rsidRPr="00924A03">
                            <w:rPr>
                              <w:lang w:bidi="fr-FR"/>
                            </w:rPr>
                            <w:t>Projet fusionné</w:t>
                          </w:r>
                        </w:p>
                        <w:p w14:paraId="15A697D1" w14:textId="11D2E704" w:rsidR="001E584B" w:rsidRDefault="001E584B" w:rsidP="00175CA8">
                          <w:pPr>
                            <w:pStyle w:val="CoverNormal"/>
                            <w:jc w:val="center"/>
                          </w:pPr>
                          <w:r>
                            <w:rPr>
                              <w:lang w:bidi="fr-FR"/>
                            </w:rPr>
                            <w:t>20 mars 2021</w:t>
                          </w:r>
                        </w:p>
                        <w:p w14:paraId="331AECEA" w14:textId="77777777" w:rsidR="001E584B" w:rsidRDefault="001E584B" w:rsidP="00661516">
                          <w:pPr>
                            <w:pStyle w:val="CoverNormal"/>
                            <w:jc w:val="center"/>
                          </w:pPr>
                        </w:p>
                        <w:p w14:paraId="2AFFAB7E" w14:textId="77777777" w:rsidR="001E584B" w:rsidRDefault="001E584B" w:rsidP="00661516">
                          <w:pPr>
                            <w:pStyle w:val="CoverNormal"/>
                            <w:jc w:val="center"/>
                          </w:pPr>
                        </w:p>
                        <w:p w14:paraId="2D62DC7D" w14:textId="77777777" w:rsidR="001E584B" w:rsidRDefault="001E584B" w:rsidP="00661516">
                          <w:pPr>
                            <w:pStyle w:val="CoverNormal"/>
                            <w:jc w:val="center"/>
                          </w:pPr>
                        </w:p>
                        <w:p w14:paraId="44B16779" w14:textId="77777777" w:rsidR="001E584B" w:rsidRDefault="001E584B" w:rsidP="00661516">
                          <w:pPr>
                            <w:pStyle w:val="CoverNormal"/>
                            <w:jc w:val="center"/>
                          </w:pPr>
                        </w:p>
                        <w:p w14:paraId="64DB7268" w14:textId="77777777" w:rsidR="001E584B" w:rsidRDefault="001E584B" w:rsidP="00661516">
                          <w:pPr>
                            <w:pStyle w:val="CoverNormal"/>
                            <w:jc w:val="center"/>
                          </w:pPr>
                        </w:p>
                        <w:p w14:paraId="51C0FDBC" w14:textId="77777777" w:rsidR="001E584B" w:rsidRDefault="001E584B" w:rsidP="00661516">
                          <w:pPr>
                            <w:pStyle w:val="CoverNormal"/>
                            <w:jc w:val="center"/>
                          </w:pPr>
                        </w:p>
                        <w:p w14:paraId="73D2FC18" w14:textId="77777777" w:rsidR="001E584B" w:rsidRDefault="001E584B" w:rsidP="00661516">
                          <w:pPr>
                            <w:pStyle w:val="CoverNormal"/>
                            <w:jc w:val="center"/>
                          </w:pPr>
                        </w:p>
                        <w:p w14:paraId="001E2D04" w14:textId="77777777" w:rsidR="001E584B" w:rsidRDefault="001E584B" w:rsidP="00661516">
                          <w:pPr>
                            <w:pStyle w:val="CoverNormal"/>
                            <w:jc w:val="center"/>
                          </w:pPr>
                        </w:p>
                        <w:p w14:paraId="20B1B584" w14:textId="77777777" w:rsidR="001E584B" w:rsidRDefault="001E584B" w:rsidP="00661516">
                          <w:pPr>
                            <w:pStyle w:val="CoverNormal"/>
                            <w:jc w:val="center"/>
                          </w:pPr>
                        </w:p>
                        <w:p w14:paraId="5C8D523C" w14:textId="77777777" w:rsidR="001E584B" w:rsidRDefault="001E584B" w:rsidP="00661516">
                          <w:pPr>
                            <w:pStyle w:val="CoverNormal"/>
                            <w:jc w:val="center"/>
                          </w:pPr>
                        </w:p>
                        <w:p w14:paraId="3498A263" w14:textId="77777777" w:rsidR="001E584B" w:rsidRDefault="001E584B" w:rsidP="00661516">
                          <w:pPr>
                            <w:pStyle w:val="CoverNormal"/>
                            <w:jc w:val="center"/>
                          </w:pPr>
                        </w:p>
                        <w:p w14:paraId="5E9A7A98" w14:textId="77777777" w:rsidR="001E584B" w:rsidRDefault="001E584B" w:rsidP="00661516">
                          <w:pPr>
                            <w:pStyle w:val="CoverNormal"/>
                            <w:jc w:val="center"/>
                          </w:pPr>
                        </w:p>
                        <w:p w14:paraId="675DEFC2" w14:textId="77777777" w:rsidR="001E584B" w:rsidRDefault="001E584B" w:rsidP="00661516">
                          <w:pPr>
                            <w:pStyle w:val="CoverNormal"/>
                            <w:jc w:val="center"/>
                          </w:pPr>
                        </w:p>
                        <w:p w14:paraId="19C3DDD0" w14:textId="77777777" w:rsidR="001E584B" w:rsidRDefault="001E584B" w:rsidP="00661516">
                          <w:pPr>
                            <w:pStyle w:val="CoverNormal"/>
                            <w:jc w:val="center"/>
                          </w:pPr>
                        </w:p>
                        <w:p w14:paraId="0A214377" w14:textId="77777777" w:rsidR="001E584B" w:rsidRDefault="001E584B" w:rsidP="00661516">
                          <w:pPr>
                            <w:pStyle w:val="CoverNormal"/>
                            <w:jc w:val="center"/>
                          </w:pPr>
                        </w:p>
                        <w:p w14:paraId="3925E9F9" w14:textId="77777777" w:rsidR="001E584B" w:rsidRDefault="001E584B" w:rsidP="00661516">
                          <w:pPr>
                            <w:pStyle w:val="CoverNormal"/>
                            <w:jc w:val="center"/>
                          </w:pPr>
                        </w:p>
                        <w:p w14:paraId="7E8DC2B4" w14:textId="77777777" w:rsidR="001E584B" w:rsidRDefault="001E584B" w:rsidP="00661516">
                          <w:pPr>
                            <w:pStyle w:val="CoverNormal"/>
                            <w:jc w:val="center"/>
                          </w:pPr>
                        </w:p>
                        <w:p w14:paraId="1F737E03" w14:textId="3DF2C465" w:rsidR="001E584B" w:rsidRDefault="001E584B" w:rsidP="00661516">
                          <w:pPr>
                            <w:pStyle w:val="CoverNormal"/>
                            <w:jc w:val="center"/>
                          </w:pPr>
                        </w:p>
                        <w:p w14:paraId="25653075" w14:textId="3600C335" w:rsidR="001E584B" w:rsidRDefault="001E584B" w:rsidP="00661516">
                          <w:pPr>
                            <w:pStyle w:val="CoverNormal"/>
                            <w:jc w:val="center"/>
                          </w:pPr>
                        </w:p>
                        <w:p w14:paraId="564DA5C3" w14:textId="7BDD1E0D" w:rsidR="001E584B" w:rsidRDefault="001E584B" w:rsidP="00661516">
                          <w:pPr>
                            <w:pStyle w:val="CoverNormal"/>
                            <w:jc w:val="center"/>
                          </w:pPr>
                        </w:p>
                        <w:p w14:paraId="6CD6CE5C" w14:textId="07B78028" w:rsidR="001E584B" w:rsidRDefault="001E584B" w:rsidP="00661516">
                          <w:pPr>
                            <w:pStyle w:val="CoverNormal"/>
                            <w:jc w:val="center"/>
                          </w:pPr>
                        </w:p>
                        <w:p w14:paraId="25BC4531" w14:textId="687BD1E2" w:rsidR="001E584B" w:rsidRDefault="001E584B" w:rsidP="00661516">
                          <w:pPr>
                            <w:pStyle w:val="CoverNormal"/>
                            <w:jc w:val="center"/>
                          </w:pPr>
                        </w:p>
                        <w:p w14:paraId="712FB3EC" w14:textId="77777777" w:rsidR="001E584B" w:rsidRDefault="001E584B" w:rsidP="00661516">
                          <w:pPr>
                            <w:pStyle w:val="CoverNormal"/>
                            <w:jc w:val="center"/>
                          </w:pPr>
                        </w:p>
                        <w:p w14:paraId="6AC0F57E" w14:textId="77777777" w:rsidR="001E584B" w:rsidRDefault="001E584B" w:rsidP="00661516">
                          <w:pPr>
                            <w:pStyle w:val="CoverNormal"/>
                            <w:jc w:val="center"/>
                          </w:pPr>
                        </w:p>
                        <w:p w14:paraId="0FE9E96F" w14:textId="6EAA1217" w:rsidR="001E584B" w:rsidRPr="00310112" w:rsidRDefault="00297AF9" w:rsidP="00134A95">
                          <w:pPr>
                            <w:pStyle w:val="CoverNormal"/>
                            <w:jc w:val="center"/>
                          </w:pPr>
                          <w:sdt>
                            <w:sdtPr>
                              <w:rPr>
                                <w:noProof/>
                                <w:lang w:eastAsia="ko-KR"/>
                              </w:rPr>
                              <w:alias w:val="OECD logo"/>
                              <w:tag w:val="imgOECDLogo"/>
                              <w:id w:val="1328472876"/>
                              <w:picture/>
                            </w:sdtPr>
                            <w:sdtEndPr/>
                            <w:sdtContent>
                              <w:r w:rsidR="001E584B">
                                <w:rPr>
                                  <w:noProof/>
                                  <w:lang w:bidi="fr-FR"/>
                                </w:rPr>
                                <w:drawing>
                                  <wp:inline distT="0" distB="0" distL="0" distR="0" wp14:anchorId="47A5F97C" wp14:editId="22C99D06">
                                    <wp:extent cx="1641361" cy="392567"/>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sdtContent>
                          </w:sdt>
                          <w:r w:rsidR="001E584B">
                            <w:rPr>
                              <w:lang w:bidi="fr-FR"/>
                            </w:rPr>
                            <w:tab/>
                          </w:r>
                          <w:r w:rsidR="001E584B">
                            <w:rPr>
                              <w:lang w:bidi="fr-FR"/>
                            </w:rPr>
                            <w:tab/>
                          </w:r>
                          <w:r w:rsidR="001E584B">
                            <w:rPr>
                              <w:lang w:bidi="fr-FR"/>
                            </w:rPr>
                            <w:tab/>
                          </w:r>
                          <w:r w:rsidR="001E584B">
                            <w:rPr>
                              <w:lang w:bidi="fr-FR"/>
                            </w:rPr>
                            <w:tab/>
                          </w:r>
                          <w:r w:rsidR="001E584B">
                            <w:rPr>
                              <w:lang w:bidi="fr-FR"/>
                            </w:rPr>
                            <w:tab/>
                          </w:r>
                          <w:r w:rsidR="001E584B">
                            <w:rPr>
                              <w:lang w:bidi="fr-FR"/>
                            </w:rPr>
                            <w:tab/>
                          </w:r>
                          <w:r w:rsidR="001E584B">
                            <w:rPr>
                              <w:lang w:bidi="fr-FR"/>
                            </w:rPr>
                            <w:tab/>
                          </w:r>
                          <w:r w:rsidR="001E584B">
                            <w:rPr>
                              <w:noProof/>
                              <w:lang w:bidi="fr-FR"/>
                            </w:rPr>
                            <w:drawing>
                              <wp:inline distT="0" distB="0" distL="0" distR="0" wp14:anchorId="7456833F" wp14:editId="35F606D1">
                                <wp:extent cx="556824" cy="556824"/>
                                <wp:effectExtent l="0" t="0" r="0" b="0"/>
                                <wp:docPr id="6" name="Picture 6" descr="Education International's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International's stre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530" cy="574530"/>
                                        </a:xfrm>
                                        <a:prstGeom prst="rect">
                                          <a:avLst/>
                                        </a:prstGeom>
                                        <a:noFill/>
                                        <a:ln>
                                          <a:noFill/>
                                        </a:ln>
                                      </pic:spPr>
                                    </pic:pic>
                                  </a:graphicData>
                                </a:graphic>
                              </wp:inline>
                            </w:drawing>
                          </w:r>
                        </w:p>
                      </w:txbxContent>
                    </v:textbox>
                    <w10:wrap anchory="page"/>
                    <w10:anchorlock/>
                  </v:shape>
                </w:pict>
              </mc:Fallback>
            </mc:AlternateContent>
          </w:r>
        </w:p>
        <w:p w14:paraId="61ABBC68" w14:textId="77777777" w:rsidR="00175CA8" w:rsidRPr="00D3452E" w:rsidRDefault="00175CA8">
          <w:pPr>
            <w:widowControl/>
            <w:spacing w:after="200" w:line="276" w:lineRule="auto"/>
            <w:jc w:val="left"/>
            <w:rPr>
              <w:rFonts w:ascii="Times New Roman" w:hAnsi="Times New Roman"/>
            </w:rPr>
          </w:pPr>
          <w:r w:rsidRPr="00D3452E">
            <w:rPr>
              <w:rFonts w:ascii="Times New Roman" w:eastAsia="Times New Roman" w:hAnsi="Times New Roman" w:cs="Times New Roman"/>
              <w:lang w:bidi="fr-FR"/>
            </w:rPr>
            <w:br w:type="page"/>
          </w:r>
        </w:p>
      </w:sdtContent>
    </w:sdt>
    <w:p w14:paraId="1467CDC2" w14:textId="77777777" w:rsidR="00175CA8" w:rsidRPr="00D3452E" w:rsidRDefault="00175CA8" w:rsidP="00802A87">
      <w:pPr>
        <w:pStyle w:val="Heading1"/>
        <w:framePr w:wrap="notBeside"/>
        <w:numPr>
          <w:ilvl w:val="0"/>
          <w:numId w:val="0"/>
        </w:numPr>
        <w:ind w:left="113"/>
      </w:pPr>
      <w:r w:rsidRPr="00D3452E">
        <w:rPr>
          <w:lang w:bidi="fr-FR"/>
        </w:rPr>
        <w:lastRenderedPageBreak/>
        <w:t>Introduction</w:t>
      </w:r>
    </w:p>
    <w:p w14:paraId="6D4D3522" w14:textId="1C82E775" w:rsidR="00175CA8" w:rsidRPr="00D3452E" w:rsidRDefault="00175CA8" w:rsidP="00175CA8">
      <w:pPr>
        <w:pStyle w:val="Para"/>
      </w:pPr>
      <w:r w:rsidRPr="00D3452E">
        <w:rPr>
          <w:lang w:bidi="fr-FR"/>
        </w:rPr>
        <w:t>La pandémie de Covid-19 a entraîné la fermeture fréquente des établissements scolaires dans la plupart des pays du monde et a engendré la suspension de la scolarisation d</w:t>
      </w:r>
      <w:r w:rsidR="001E584B">
        <w:rPr>
          <w:lang w:bidi="fr-FR"/>
        </w:rPr>
        <w:t>’</w:t>
      </w:r>
      <w:r w:rsidRPr="00D3452E">
        <w:rPr>
          <w:lang w:bidi="fr-FR"/>
        </w:rPr>
        <w:t>au moins 1,2 milliard d</w:t>
      </w:r>
      <w:r w:rsidR="001E584B">
        <w:rPr>
          <w:lang w:bidi="fr-FR"/>
        </w:rPr>
        <w:t>’</w:t>
      </w:r>
      <w:r w:rsidRPr="00D3452E">
        <w:rPr>
          <w:lang w:bidi="fr-FR"/>
        </w:rPr>
        <w:t>élèves en 2020 et 2021. Si un grand nombre de systèmes éducatifs ont pu s</w:t>
      </w:r>
      <w:r w:rsidR="001E584B">
        <w:rPr>
          <w:lang w:bidi="fr-FR"/>
        </w:rPr>
        <w:t>’</w:t>
      </w:r>
      <w:r w:rsidRPr="00D3452E">
        <w:rPr>
          <w:lang w:bidi="fr-FR"/>
        </w:rPr>
        <w:t>adapter à des degrés divers, la pandémie a démontré que les infrastructures d</w:t>
      </w:r>
      <w:r w:rsidR="001E584B">
        <w:rPr>
          <w:lang w:bidi="fr-FR"/>
        </w:rPr>
        <w:t>’</w:t>
      </w:r>
      <w:r w:rsidRPr="00D3452E">
        <w:rPr>
          <w:lang w:bidi="fr-FR"/>
        </w:rPr>
        <w:t>apprentissage actuelles des pays restent hautement vulnérables face aux chocs extérieurs</w:t>
      </w:r>
      <w:r w:rsidR="00A5284A">
        <w:rPr>
          <w:lang w:bidi="fr-FR"/>
        </w:rPr>
        <w:t>.</w:t>
      </w:r>
      <w:r w:rsidRPr="00D3452E">
        <w:rPr>
          <w:lang w:bidi="fr-FR"/>
        </w:rPr>
        <w:t xml:space="preserve"> Bien que les écoles aient fait preuve d</w:t>
      </w:r>
      <w:r w:rsidR="001E584B">
        <w:rPr>
          <w:lang w:bidi="fr-FR"/>
        </w:rPr>
        <w:t>’</w:t>
      </w:r>
      <w:r w:rsidRPr="00D3452E">
        <w:rPr>
          <w:lang w:bidi="fr-FR"/>
        </w:rPr>
        <w:t>une grande résilience en s</w:t>
      </w:r>
      <w:r w:rsidR="001E584B">
        <w:rPr>
          <w:lang w:bidi="fr-FR"/>
        </w:rPr>
        <w:t>’</w:t>
      </w:r>
      <w:r w:rsidRPr="00D3452E">
        <w:rPr>
          <w:lang w:bidi="fr-FR"/>
        </w:rPr>
        <w:t xml:space="preserve">efforçant de compenser la crise, elles doivent être mieux préparées à des difficultés </w:t>
      </w:r>
      <w:r w:rsidR="00C82AC3">
        <w:rPr>
          <w:lang w:bidi="fr-FR"/>
        </w:rPr>
        <w:t>de ce type</w:t>
      </w:r>
      <w:r w:rsidRPr="00D3452E">
        <w:rPr>
          <w:lang w:bidi="fr-FR"/>
        </w:rPr>
        <w:t>. Les systèmes éducatifs doivent assurer la continuité de l</w:t>
      </w:r>
      <w:r w:rsidR="001E584B">
        <w:rPr>
          <w:lang w:bidi="fr-FR"/>
        </w:rPr>
        <w:t>’</w:t>
      </w:r>
      <w:r w:rsidRPr="00D3452E">
        <w:rPr>
          <w:lang w:bidi="fr-FR"/>
        </w:rPr>
        <w:t>apprentissage, lequel doit être au centre de toutes les considérations.</w:t>
      </w:r>
    </w:p>
    <w:p w14:paraId="135CF0E6" w14:textId="568CA623" w:rsidR="001177B9" w:rsidRPr="00D3452E" w:rsidRDefault="001177B9" w:rsidP="00175CA8">
      <w:pPr>
        <w:pStyle w:val="Para"/>
      </w:pPr>
      <w:r w:rsidRPr="00D3452E">
        <w:rPr>
          <w:lang w:bidi="fr-FR"/>
        </w:rPr>
        <w:t>Constatant les bouleversements provoqués par la crise sanitaire et leurs impacts probables sur la qualité et l</w:t>
      </w:r>
      <w:r w:rsidR="001E584B">
        <w:rPr>
          <w:lang w:bidi="fr-FR"/>
        </w:rPr>
        <w:t>’</w:t>
      </w:r>
      <w:r w:rsidRPr="00D3452E">
        <w:rPr>
          <w:lang w:bidi="fr-FR"/>
        </w:rPr>
        <w:t>équité de l</w:t>
      </w:r>
      <w:r w:rsidR="001E584B">
        <w:rPr>
          <w:lang w:bidi="fr-FR"/>
        </w:rPr>
        <w:t>’</w:t>
      </w:r>
      <w:r w:rsidRPr="00D3452E">
        <w:rPr>
          <w:lang w:bidi="fr-FR"/>
        </w:rPr>
        <w:t>éducation, le secrétariat de l</w:t>
      </w:r>
      <w:r w:rsidR="001E584B">
        <w:rPr>
          <w:lang w:bidi="fr-FR"/>
        </w:rPr>
        <w:t>’</w:t>
      </w:r>
      <w:r w:rsidRPr="00D3452E">
        <w:rPr>
          <w:lang w:bidi="fr-FR"/>
        </w:rPr>
        <w:t>OCDE et l</w:t>
      </w:r>
      <w:r w:rsidR="001E584B">
        <w:rPr>
          <w:lang w:bidi="fr-FR"/>
        </w:rPr>
        <w:t>’</w:t>
      </w:r>
      <w:r w:rsidRPr="00D3452E">
        <w:rPr>
          <w:lang w:bidi="fr-FR"/>
        </w:rPr>
        <w:t>Internationale de l</w:t>
      </w:r>
      <w:r w:rsidR="001E584B">
        <w:rPr>
          <w:lang w:bidi="fr-FR"/>
        </w:rPr>
        <w:t>’</w:t>
      </w:r>
      <w:r w:rsidRPr="00D3452E">
        <w:rPr>
          <w:lang w:bidi="fr-FR"/>
        </w:rPr>
        <w:t>Éducation ont, sur la base de leurs travaux respectifs menés durant la pandémie, publié conjointement 10 principes pour faciliter la collaboration entre les autorités éducatives, la profession enseignante et les organisations qui la représentent, pour les aider à traverser la crise efficacement et remodeler les systèmes éducatifs après la pandémie, afin d</w:t>
      </w:r>
      <w:r w:rsidR="001E584B">
        <w:rPr>
          <w:lang w:bidi="fr-FR"/>
        </w:rPr>
        <w:t>’</w:t>
      </w:r>
      <w:r w:rsidRPr="00D3452E">
        <w:rPr>
          <w:lang w:bidi="fr-FR"/>
        </w:rPr>
        <w:t>atteindre des niveaux plus élevés de qualité et d</w:t>
      </w:r>
      <w:r w:rsidR="001E584B">
        <w:rPr>
          <w:lang w:bidi="fr-FR"/>
        </w:rPr>
        <w:t>’</w:t>
      </w:r>
      <w:r w:rsidRPr="00D3452E">
        <w:rPr>
          <w:lang w:bidi="fr-FR"/>
        </w:rPr>
        <w:t>équité au sein de l</w:t>
      </w:r>
      <w:r w:rsidR="001E584B">
        <w:rPr>
          <w:lang w:bidi="fr-FR"/>
        </w:rPr>
        <w:t>’</w:t>
      </w:r>
      <w:r w:rsidRPr="00D3452E">
        <w:rPr>
          <w:lang w:bidi="fr-FR"/>
        </w:rPr>
        <w:t>éducation. Les systèmes éducatifs du monde entier ont rencontré des problèmes similaires, mais ont développé des approches et des expériences différentes. Les 10 principes présentés ici ont également pour objectif de contribuer à la définition d</w:t>
      </w:r>
      <w:r w:rsidR="001E584B">
        <w:rPr>
          <w:lang w:bidi="fr-FR"/>
        </w:rPr>
        <w:t>’</w:t>
      </w:r>
      <w:r w:rsidRPr="00D3452E">
        <w:rPr>
          <w:lang w:bidi="fr-FR"/>
        </w:rPr>
        <w:t>un cadre pour la coopération internationale et l</w:t>
      </w:r>
      <w:r w:rsidR="001E584B">
        <w:rPr>
          <w:lang w:bidi="fr-FR"/>
        </w:rPr>
        <w:t>’</w:t>
      </w:r>
      <w:r w:rsidRPr="00D3452E">
        <w:rPr>
          <w:lang w:bidi="fr-FR"/>
        </w:rPr>
        <w:t>apprentissage par les pairs.</w:t>
      </w:r>
    </w:p>
    <w:p w14:paraId="45FC5941" w14:textId="64F628A0" w:rsidR="00175CA8" w:rsidRPr="00D3452E" w:rsidRDefault="006833BF" w:rsidP="00175CA8">
      <w:pPr>
        <w:pStyle w:val="Para"/>
      </w:pPr>
      <w:r w:rsidRPr="00D3452E">
        <w:rPr>
          <w:lang w:bidi="fr-FR"/>
        </w:rPr>
        <w:t>Le retour à l</w:t>
      </w:r>
      <w:r w:rsidR="001E584B">
        <w:rPr>
          <w:lang w:bidi="fr-FR"/>
        </w:rPr>
        <w:t>’</w:t>
      </w:r>
      <w:r w:rsidRPr="00D3452E">
        <w:rPr>
          <w:lang w:bidi="fr-FR"/>
        </w:rPr>
        <w:t>école et à l</w:t>
      </w:r>
      <w:r w:rsidR="001E584B">
        <w:rPr>
          <w:lang w:bidi="fr-FR"/>
        </w:rPr>
        <w:t>’</w:t>
      </w:r>
      <w:r w:rsidRPr="00D3452E">
        <w:rPr>
          <w:lang w:bidi="fr-FR"/>
        </w:rPr>
        <w:t>enseignement présentiel varie d</w:t>
      </w:r>
      <w:r w:rsidR="001E584B">
        <w:rPr>
          <w:lang w:bidi="fr-FR"/>
        </w:rPr>
        <w:t>’</w:t>
      </w:r>
      <w:r w:rsidRPr="00D3452E">
        <w:rPr>
          <w:lang w:bidi="fr-FR"/>
        </w:rPr>
        <w:t>un pays à l</w:t>
      </w:r>
      <w:r w:rsidR="001E584B">
        <w:rPr>
          <w:lang w:bidi="fr-FR"/>
        </w:rPr>
        <w:t>’</w:t>
      </w:r>
      <w:r w:rsidRPr="00D3452E">
        <w:rPr>
          <w:lang w:bidi="fr-FR"/>
        </w:rPr>
        <w:t>autre. Ceci suppose que les pays doivent être préparés à alterner trois modèles de scolarisation dans un avenir proche, appliqués parfois simultanément dans les différentes régions de leur territoire : 1) enseignement présentiel accompagné de mesures sanitaires adéquates, 2) scolarisation hybride combinant enseignement présentiel et distanciel, et 3) enseignement distanciel organisé selon diverses modalités. La préparation à ces différentes possibilités est essentielle pour assurer la continuité de l</w:t>
      </w:r>
      <w:r w:rsidR="001E584B">
        <w:rPr>
          <w:lang w:bidi="fr-FR"/>
        </w:rPr>
        <w:t>’</w:t>
      </w:r>
      <w:r w:rsidRPr="00D3452E">
        <w:rPr>
          <w:lang w:bidi="fr-FR"/>
        </w:rPr>
        <w:t>apprentissage durant la pandémie.</w:t>
      </w:r>
    </w:p>
    <w:p w14:paraId="0F29598F" w14:textId="692B2D57" w:rsidR="00BF0B97" w:rsidRPr="00D3452E" w:rsidRDefault="00BF0B97" w:rsidP="00175CA8">
      <w:pPr>
        <w:pStyle w:val="Para"/>
      </w:pPr>
      <w:r w:rsidRPr="00D3452E">
        <w:rPr>
          <w:lang w:bidi="fr-FR"/>
        </w:rPr>
        <w:t>Il est crucial que les systèmes éducatifs puissent se relever des conséquences de la crise sanitaire, tant pour la santé sociale et économique de nos sociétés que pour leur relance globale. La pandémie a fortement exacerbé les inégalités au sein de l</w:t>
      </w:r>
      <w:r w:rsidR="001E584B">
        <w:rPr>
          <w:lang w:bidi="fr-FR"/>
        </w:rPr>
        <w:t>’</w:t>
      </w:r>
      <w:r w:rsidRPr="00D3452E">
        <w:rPr>
          <w:lang w:bidi="fr-FR"/>
        </w:rPr>
        <w:t>éducation, tout comme dans la société en général. La lutte contre l</w:t>
      </w:r>
      <w:r w:rsidR="001E584B">
        <w:rPr>
          <w:lang w:bidi="fr-FR"/>
        </w:rPr>
        <w:t>’</w:t>
      </w:r>
      <w:r w:rsidRPr="00D3452E">
        <w:rPr>
          <w:lang w:bidi="fr-FR"/>
        </w:rPr>
        <w:t>accès inégalitaire des élèves aux prestations éducatives et à l</w:t>
      </w:r>
      <w:r w:rsidR="001E584B">
        <w:rPr>
          <w:lang w:bidi="fr-FR"/>
        </w:rPr>
        <w:t>’</w:t>
      </w:r>
      <w:r w:rsidRPr="00D3452E">
        <w:rPr>
          <w:lang w:bidi="fr-FR"/>
        </w:rPr>
        <w:t>apprentissage pendant et après la pandémie doit être un principe central d</w:t>
      </w:r>
      <w:r w:rsidR="001E584B">
        <w:rPr>
          <w:lang w:bidi="fr-FR"/>
        </w:rPr>
        <w:t>’</w:t>
      </w:r>
      <w:r w:rsidRPr="00D3452E">
        <w:rPr>
          <w:lang w:bidi="fr-FR"/>
        </w:rPr>
        <w:t>une relance efficace des systèmes éducatifs.</w:t>
      </w:r>
    </w:p>
    <w:p w14:paraId="14D83C30" w14:textId="5624FBBC" w:rsidR="000A70F3" w:rsidRPr="00D3452E" w:rsidRDefault="00A5739E" w:rsidP="00DF5798">
      <w:pPr>
        <w:pStyle w:val="Heading1"/>
        <w:framePr w:wrap="notBeside"/>
        <w:numPr>
          <w:ilvl w:val="0"/>
          <w:numId w:val="0"/>
        </w:numPr>
        <w:ind w:left="113"/>
      </w:pPr>
      <w:r w:rsidRPr="00D3452E">
        <w:rPr>
          <w:lang w:bidi="fr-FR"/>
        </w:rPr>
        <w:lastRenderedPageBreak/>
        <w:t>Principes pour une reprise efficace et équitable de l</w:t>
      </w:r>
      <w:r w:rsidR="001E584B">
        <w:rPr>
          <w:lang w:bidi="fr-FR"/>
        </w:rPr>
        <w:t>’</w:t>
      </w:r>
      <w:r w:rsidRPr="00D3452E">
        <w:rPr>
          <w:lang w:bidi="fr-FR"/>
        </w:rPr>
        <w:t>éducation</w:t>
      </w:r>
    </w:p>
    <w:p w14:paraId="38CF8039" w14:textId="501A63D1" w:rsidR="00BF0B97" w:rsidRPr="00D3452E" w:rsidRDefault="00AC7518" w:rsidP="001B01A7">
      <w:pPr>
        <w:pStyle w:val="Para"/>
      </w:pPr>
      <w:r w:rsidRPr="00D3452E">
        <w:rPr>
          <w:lang w:bidi="fr-FR"/>
        </w:rPr>
        <w:t>L</w:t>
      </w:r>
      <w:r w:rsidR="001E584B">
        <w:rPr>
          <w:lang w:bidi="fr-FR"/>
        </w:rPr>
        <w:t>’</w:t>
      </w:r>
      <w:r w:rsidRPr="00D3452E">
        <w:rPr>
          <w:lang w:bidi="fr-FR"/>
        </w:rPr>
        <w:t>objectif de ces principes est double : 1) au sein des pays et des juridictions éducatives, assurer le plus efficacement et le plus équitablement possible la continuité de l</w:t>
      </w:r>
      <w:r w:rsidR="001E584B">
        <w:rPr>
          <w:lang w:bidi="fr-FR"/>
        </w:rPr>
        <w:t>’</w:t>
      </w:r>
      <w:r w:rsidRPr="00D3452E">
        <w:rPr>
          <w:lang w:bidi="fr-FR"/>
        </w:rPr>
        <w:t>apprentissage et de l</w:t>
      </w:r>
      <w:r w:rsidR="001E584B">
        <w:rPr>
          <w:lang w:bidi="fr-FR"/>
        </w:rPr>
        <w:t>’</w:t>
      </w:r>
      <w:r w:rsidRPr="00D3452E">
        <w:rPr>
          <w:lang w:bidi="fr-FR"/>
        </w:rPr>
        <w:t>amélioration du développement et du bien-être des élèves ; et 2) pallier les retards d</w:t>
      </w:r>
      <w:r w:rsidR="001E584B">
        <w:rPr>
          <w:lang w:bidi="fr-FR"/>
        </w:rPr>
        <w:t>’</w:t>
      </w:r>
      <w:r w:rsidRPr="00D3452E">
        <w:rPr>
          <w:lang w:bidi="fr-FR"/>
        </w:rPr>
        <w:t>apprentissage et les écarts en termes de réussite scolaire dus à la crise. Par conséquent, les principes sont organisés en deux parties.</w:t>
      </w:r>
    </w:p>
    <w:p w14:paraId="6F9308FE" w14:textId="3B158FE3" w:rsidR="0065762C" w:rsidRPr="00D3452E" w:rsidRDefault="00BF0B97" w:rsidP="00BF0B97">
      <w:pPr>
        <w:pStyle w:val="Para"/>
      </w:pPr>
      <w:r w:rsidRPr="00D3452E">
        <w:rPr>
          <w:lang w:bidi="fr-FR"/>
        </w:rPr>
        <w:t>La prospérité de nos économies et l</w:t>
      </w:r>
      <w:r w:rsidR="001E584B">
        <w:rPr>
          <w:lang w:bidi="fr-FR"/>
        </w:rPr>
        <w:t>’</w:t>
      </w:r>
      <w:r w:rsidRPr="00D3452E">
        <w:rPr>
          <w:lang w:bidi="fr-FR"/>
        </w:rPr>
        <w:t>épanouissement dans la vie reposent sur des opportunités équitables de pouvoir se développer sur le plan cognitif, social et émotionnel. Il s</w:t>
      </w:r>
      <w:r w:rsidR="001E584B">
        <w:rPr>
          <w:lang w:bidi="fr-FR"/>
        </w:rPr>
        <w:t>’</w:t>
      </w:r>
      <w:r w:rsidRPr="00D3452E">
        <w:rPr>
          <w:lang w:bidi="fr-FR"/>
        </w:rPr>
        <w:t>agit d</w:t>
      </w:r>
      <w:r w:rsidR="001E584B">
        <w:rPr>
          <w:lang w:bidi="fr-FR"/>
        </w:rPr>
        <w:t>’</w:t>
      </w:r>
      <w:r w:rsidRPr="00D3452E">
        <w:rPr>
          <w:lang w:bidi="fr-FR"/>
        </w:rPr>
        <w:t>une obligation fondamentale que doit remplir toute société pour permettre à chaque élève de réussir son apprentissage. Les élèves sont donc au centre de ces principes, qui visent à répondre à leurs besoins éducatifs cognitifs, sociaux et émotionnels pendant et après la pandémie, avec l</w:t>
      </w:r>
      <w:r w:rsidR="001E584B">
        <w:rPr>
          <w:lang w:bidi="fr-FR"/>
        </w:rPr>
        <w:t>’</w:t>
      </w:r>
      <w:r w:rsidRPr="00D3452E">
        <w:rPr>
          <w:lang w:bidi="fr-FR"/>
        </w:rPr>
        <w:t xml:space="preserve">aide de leurs familles et le soutien actif des </w:t>
      </w:r>
      <w:proofErr w:type="spellStart"/>
      <w:r w:rsidRPr="00D3452E">
        <w:rPr>
          <w:lang w:bidi="fr-FR"/>
        </w:rPr>
        <w:t>enseignant·e·s</w:t>
      </w:r>
      <w:proofErr w:type="spellEnd"/>
      <w:r w:rsidRPr="00D3452E">
        <w:rPr>
          <w:lang w:bidi="fr-FR"/>
        </w:rPr>
        <w:t xml:space="preserve">, des établissements scolaires et de la communauté en général (figure 1). Ces principes confirment également que les </w:t>
      </w:r>
      <w:proofErr w:type="spellStart"/>
      <w:r w:rsidRPr="00D3452E">
        <w:rPr>
          <w:lang w:bidi="fr-FR"/>
        </w:rPr>
        <w:t>enseignant·e·s</w:t>
      </w:r>
      <w:proofErr w:type="spellEnd"/>
      <w:r w:rsidRPr="00D3452E">
        <w:rPr>
          <w:lang w:bidi="fr-FR"/>
        </w:rPr>
        <w:t xml:space="preserve"> ne sont jamais plus efficaces que lorsque leurs besoins en termes de santé, de sécurité et de bien-être sont reconnus et pris en compte. Les meilleures conditions pour rencontrer ces objectifs sont réunies lorsque tous les partenaires engagés dans la reprise de l</w:t>
      </w:r>
      <w:r w:rsidR="001E584B">
        <w:rPr>
          <w:lang w:bidi="fr-FR"/>
        </w:rPr>
        <w:t>’</w:t>
      </w:r>
      <w:r w:rsidRPr="00D3452E">
        <w:rPr>
          <w:lang w:bidi="fr-FR"/>
        </w:rPr>
        <w:t>éducation travaillent ensemble.</w:t>
      </w:r>
    </w:p>
    <w:p w14:paraId="61CA56D9" w14:textId="77777777" w:rsidR="00190848" w:rsidRPr="00D3452E" w:rsidRDefault="00190848" w:rsidP="00190848">
      <w:pPr>
        <w:pStyle w:val="Caption"/>
        <w:jc w:val="center"/>
      </w:pPr>
      <w:r w:rsidRPr="00D3452E">
        <w:rPr>
          <w:lang w:bidi="fr-FR"/>
        </w:rPr>
        <w:t xml:space="preserve">Figure </w:t>
      </w:r>
      <w:r w:rsidRPr="00D3452E">
        <w:rPr>
          <w:noProof/>
          <w:lang w:bidi="fr-FR"/>
        </w:rPr>
        <w:fldChar w:fldCharType="begin"/>
      </w:r>
      <w:r w:rsidRPr="00D3452E">
        <w:rPr>
          <w:noProof/>
          <w:lang w:bidi="fr-FR"/>
        </w:rPr>
        <w:instrText xml:space="preserve"> STYLEREF 1 \s </w:instrText>
      </w:r>
      <w:r w:rsidRPr="00D3452E">
        <w:rPr>
          <w:noProof/>
          <w:lang w:bidi="fr-FR"/>
        </w:rPr>
        <w:fldChar w:fldCharType="separate"/>
      </w:r>
      <w:r w:rsidRPr="00D3452E">
        <w:rPr>
          <w:noProof/>
          <w:lang w:bidi="fr-FR"/>
        </w:rPr>
        <w:t>0</w:t>
      </w:r>
      <w:r w:rsidRPr="00D3452E">
        <w:rPr>
          <w:noProof/>
          <w:lang w:bidi="fr-FR"/>
        </w:rPr>
        <w:fldChar w:fldCharType="end"/>
      </w:r>
      <w:r w:rsidRPr="00D3452E">
        <w:rPr>
          <w:lang w:bidi="fr-FR"/>
        </w:rPr>
        <w:t>.</w:t>
      </w:r>
      <w:r w:rsidRPr="00D3452E">
        <w:rPr>
          <w:noProof/>
          <w:lang w:bidi="fr-FR"/>
        </w:rPr>
        <w:fldChar w:fldCharType="begin"/>
      </w:r>
      <w:r w:rsidRPr="00D3452E">
        <w:rPr>
          <w:noProof/>
          <w:lang w:bidi="fr-FR"/>
        </w:rPr>
        <w:instrText xml:space="preserve"> SEQ Figure \* ARABIC \s 1 </w:instrText>
      </w:r>
      <w:r w:rsidRPr="00D3452E">
        <w:rPr>
          <w:noProof/>
          <w:lang w:bidi="fr-FR"/>
        </w:rPr>
        <w:fldChar w:fldCharType="separate"/>
      </w:r>
      <w:r w:rsidRPr="00D3452E">
        <w:rPr>
          <w:noProof/>
          <w:lang w:bidi="fr-FR"/>
        </w:rPr>
        <w:t>1</w:t>
      </w:r>
      <w:r w:rsidRPr="00D3452E">
        <w:rPr>
          <w:noProof/>
          <w:lang w:bidi="fr-FR"/>
        </w:rPr>
        <w:fldChar w:fldCharType="end"/>
      </w:r>
      <w:r w:rsidRPr="00D3452E">
        <w:rPr>
          <w:lang w:bidi="fr-FR"/>
        </w:rPr>
        <w:t> : écosystème de la reprise</w:t>
      </w:r>
    </w:p>
    <w:p w14:paraId="2A72A9A3" w14:textId="77777777" w:rsidR="00190848" w:rsidRPr="00D3452E" w:rsidRDefault="00190848" w:rsidP="00190848">
      <w:pPr>
        <w:pStyle w:val="Figure"/>
        <w:rPr>
          <w:b/>
          <w:bCs/>
        </w:rPr>
      </w:pPr>
      <w:r w:rsidRPr="00D3452E">
        <w:rPr>
          <w:b/>
          <w:noProof/>
          <w:lang w:bidi="fr-FR"/>
        </w:rPr>
        <w:drawing>
          <wp:inline distT="0" distB="0" distL="0" distR="0" wp14:anchorId="0BE28DC9" wp14:editId="0D661B02">
            <wp:extent cx="6568036" cy="31235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82630" cy="3130484"/>
                    </a:xfrm>
                    <a:prstGeom prst="rect">
                      <a:avLst/>
                    </a:prstGeom>
                    <a:noFill/>
                  </pic:spPr>
                </pic:pic>
              </a:graphicData>
            </a:graphic>
          </wp:inline>
        </w:drawing>
      </w:r>
    </w:p>
    <w:p w14:paraId="0B76E932" w14:textId="2634FA9A" w:rsidR="00BF0B97" w:rsidRPr="00D3452E" w:rsidRDefault="00BF0B97" w:rsidP="00BF0B97">
      <w:pPr>
        <w:pStyle w:val="Para"/>
      </w:pPr>
      <w:r w:rsidRPr="00D3452E">
        <w:rPr>
          <w:lang w:bidi="fr-FR"/>
        </w:rPr>
        <w:t>Les gouvernements doivent prévoir des institutions de soutien, des financements et des cadre</w:t>
      </w:r>
      <w:r w:rsidR="00A5284A">
        <w:rPr>
          <w:lang w:bidi="fr-FR"/>
        </w:rPr>
        <w:t>s</w:t>
      </w:r>
      <w:r w:rsidRPr="00D3452E">
        <w:rPr>
          <w:lang w:bidi="fr-FR"/>
        </w:rPr>
        <w:t xml:space="preserve"> réglementaires pour assurer une reprise efficace et équitable qui privilégie les élèves le plus durement </w:t>
      </w:r>
      <w:proofErr w:type="spellStart"/>
      <w:proofErr w:type="gramStart"/>
      <w:r w:rsidRPr="00D3452E">
        <w:rPr>
          <w:lang w:bidi="fr-FR"/>
        </w:rPr>
        <w:lastRenderedPageBreak/>
        <w:t>touché</w:t>
      </w:r>
      <w:proofErr w:type="gramEnd"/>
      <w:r w:rsidRPr="00D3452E">
        <w:rPr>
          <w:lang w:bidi="fr-FR"/>
        </w:rPr>
        <w:t>·e·s</w:t>
      </w:r>
      <w:proofErr w:type="spellEnd"/>
      <w:r w:rsidRPr="00D3452E">
        <w:rPr>
          <w:lang w:bidi="fr-FR"/>
        </w:rPr>
        <w:t xml:space="preserve"> par la crise.</w:t>
      </w:r>
      <w:r w:rsidR="001E584B">
        <w:rPr>
          <w:lang w:bidi="fr-FR"/>
        </w:rPr>
        <w:t xml:space="preserve"> </w:t>
      </w:r>
      <w:r w:rsidRPr="00D3452E">
        <w:rPr>
          <w:lang w:bidi="fr-FR"/>
        </w:rPr>
        <w:t>Les plans de relance nationaux mis en place pour assurer une reprise efficace doivent donc soutenir les initiatives qui sont prises pour relever le secteur de l</w:t>
      </w:r>
      <w:r w:rsidR="001E584B">
        <w:rPr>
          <w:lang w:bidi="fr-FR"/>
        </w:rPr>
        <w:t>’</w:t>
      </w:r>
      <w:r w:rsidRPr="00D3452E">
        <w:rPr>
          <w:lang w:bidi="fr-FR"/>
        </w:rPr>
        <w:t>éducation. De manière plus générale, les différentes parties prenantes et les responsables politiques de l</w:t>
      </w:r>
      <w:r w:rsidR="001E584B">
        <w:rPr>
          <w:lang w:bidi="fr-FR"/>
        </w:rPr>
        <w:t>’</w:t>
      </w:r>
      <w:r w:rsidRPr="00D3452E">
        <w:rPr>
          <w:lang w:bidi="fr-FR"/>
        </w:rPr>
        <w:t>éducation nécessiteront un financement stable pour développer des stratégies appropriées capables de revitaliser l</w:t>
      </w:r>
      <w:r w:rsidR="001E584B">
        <w:rPr>
          <w:lang w:bidi="fr-FR"/>
        </w:rPr>
        <w:t>’</w:t>
      </w:r>
      <w:r w:rsidRPr="00D3452E">
        <w:rPr>
          <w:lang w:bidi="fr-FR"/>
        </w:rPr>
        <w:t>éducation, de combler les déficits de l</w:t>
      </w:r>
      <w:r w:rsidR="001E584B">
        <w:rPr>
          <w:lang w:bidi="fr-FR"/>
        </w:rPr>
        <w:t>’</w:t>
      </w:r>
      <w:r w:rsidRPr="00D3452E">
        <w:rPr>
          <w:lang w:bidi="fr-FR"/>
        </w:rPr>
        <w:t>apprentissage et de surmonter les effets préjudiciables de la pandémie. L</w:t>
      </w:r>
      <w:r w:rsidR="001E584B">
        <w:rPr>
          <w:lang w:bidi="fr-FR"/>
        </w:rPr>
        <w:t>’</w:t>
      </w:r>
      <w:r w:rsidRPr="00D3452E">
        <w:rPr>
          <w:lang w:bidi="fr-FR"/>
        </w:rPr>
        <w:t>ensemble des acteurs devront travailler dans un esprit de confiance pour atteindre l</w:t>
      </w:r>
      <w:r w:rsidR="001E584B">
        <w:rPr>
          <w:lang w:bidi="fr-FR"/>
        </w:rPr>
        <w:t>’</w:t>
      </w:r>
      <w:r w:rsidRPr="00D3452E">
        <w:rPr>
          <w:lang w:bidi="fr-FR"/>
        </w:rPr>
        <w:t>objectif commun de restaurer et relancer la formation des élèves.</w:t>
      </w:r>
    </w:p>
    <w:p w14:paraId="2345FFC8" w14:textId="52817A02" w:rsidR="00E92216" w:rsidRPr="00D3452E" w:rsidRDefault="00E92216" w:rsidP="00BF0B97">
      <w:pPr>
        <w:pStyle w:val="Para"/>
      </w:pPr>
      <w:r w:rsidRPr="00D3452E">
        <w:rPr>
          <w:lang w:bidi="fr-FR"/>
        </w:rPr>
        <w:t>La pandémie et les appels à la reprise qui ont succédé ont mis en lumière la nature interconnectée des pays. Les élèves doivent savoir que le monde exigera davantage de collaboration internationale et de sensibilisation face aux défis qui l</w:t>
      </w:r>
      <w:r w:rsidR="001E584B">
        <w:rPr>
          <w:lang w:bidi="fr-FR"/>
        </w:rPr>
        <w:t>’</w:t>
      </w:r>
      <w:r w:rsidRPr="00D3452E">
        <w:rPr>
          <w:lang w:bidi="fr-FR"/>
        </w:rPr>
        <w:t xml:space="preserve">attendent. Il </w:t>
      </w:r>
      <w:proofErr w:type="gramStart"/>
      <w:r w:rsidRPr="00D3452E">
        <w:rPr>
          <w:lang w:bidi="fr-FR"/>
        </w:rPr>
        <w:t>faut</w:t>
      </w:r>
      <w:proofErr w:type="gramEnd"/>
      <w:r w:rsidRPr="00D3452E">
        <w:rPr>
          <w:lang w:bidi="fr-FR"/>
        </w:rPr>
        <w:t xml:space="preserve"> notamment mieux sensibiliser au changement climatique et à ses conséquences, contribuer à la réalisation des objectifs de développement durable au travers des initiatives des élèves, insister davantage sur la résolution de problèmes complexes et mettre en lumière les compétences du 21</w:t>
      </w:r>
      <w:r w:rsidRPr="00D3452E">
        <w:rPr>
          <w:vertAlign w:val="superscript"/>
          <w:lang w:bidi="fr-FR"/>
        </w:rPr>
        <w:t>e</w:t>
      </w:r>
      <w:r w:rsidRPr="00D3452E">
        <w:rPr>
          <w:lang w:bidi="fr-FR"/>
        </w:rPr>
        <w:t xml:space="preserve"> siècle telles que la créativité, l</w:t>
      </w:r>
      <w:r w:rsidR="001E584B">
        <w:rPr>
          <w:lang w:bidi="fr-FR"/>
        </w:rPr>
        <w:t>’</w:t>
      </w:r>
      <w:r w:rsidRPr="00D3452E">
        <w:rPr>
          <w:lang w:bidi="fr-FR"/>
        </w:rPr>
        <w:t>esprit critique, la résolution collaborative des problèmes et la communication.</w:t>
      </w:r>
    </w:p>
    <w:p w14:paraId="389506C3" w14:textId="1EF47550" w:rsidR="002C279B" w:rsidRDefault="002C279B" w:rsidP="00BF0B97">
      <w:pPr>
        <w:pStyle w:val="Para"/>
      </w:pPr>
      <w:r w:rsidRPr="00D3452E">
        <w:rPr>
          <w:lang w:bidi="fr-FR"/>
        </w:rPr>
        <w:t>Les 10 principes sont présentés ci-après. Ce document comporte également des encadrés qui, selon l</w:t>
      </w:r>
      <w:r w:rsidR="001E584B">
        <w:rPr>
          <w:lang w:bidi="fr-FR"/>
        </w:rPr>
        <w:t>’</w:t>
      </w:r>
      <w:r w:rsidRPr="00D3452E">
        <w:rPr>
          <w:lang w:bidi="fr-FR"/>
        </w:rPr>
        <w:t>OCDE et l</w:t>
      </w:r>
      <w:r w:rsidR="001E584B">
        <w:rPr>
          <w:lang w:bidi="fr-FR"/>
        </w:rPr>
        <w:t>’</w:t>
      </w:r>
      <w:r w:rsidRPr="00D3452E">
        <w:rPr>
          <w:lang w:bidi="fr-FR"/>
        </w:rPr>
        <w:t>IE, offrent des exemples intéressants de réponses politiques et concrètes à la pandémie, même s</w:t>
      </w:r>
      <w:r w:rsidR="001E584B">
        <w:rPr>
          <w:lang w:bidi="fr-FR"/>
        </w:rPr>
        <w:t>’</w:t>
      </w:r>
      <w:r w:rsidRPr="00D3452E">
        <w:rPr>
          <w:lang w:bidi="fr-FR"/>
        </w:rPr>
        <w:t>il est encore trop tôt pour évaluer pleinement les politiques adoptées durant la pandémie.</w:t>
      </w:r>
    </w:p>
    <w:tbl>
      <w:tblPr>
        <w:tblStyle w:val="TableGrid"/>
        <w:tblW w:w="5000" w:type="pct"/>
        <w:jc w:val="center"/>
        <w:shd w:val="clear" w:color="auto" w:fill="EEECE1" w:themeFill="accent3"/>
        <w:tblCellMar>
          <w:top w:w="142" w:type="dxa"/>
          <w:bottom w:w="142" w:type="dxa"/>
        </w:tblCellMar>
        <w:tblLook w:val="04A0" w:firstRow="1" w:lastRow="0" w:firstColumn="1" w:lastColumn="0" w:noHBand="0" w:noVBand="1"/>
      </w:tblPr>
      <w:tblGrid>
        <w:gridCol w:w="9253"/>
      </w:tblGrid>
      <w:tr w:rsidR="00892479" w14:paraId="223E3AE6" w14:textId="77777777" w:rsidTr="00190848">
        <w:trPr>
          <w:jc w:val="center"/>
        </w:trPr>
        <w:tc>
          <w:tcPr>
            <w:tcW w:w="5000" w:type="pct"/>
            <w:tcBorders>
              <w:top w:val="nil"/>
              <w:left w:val="nil"/>
              <w:bottom w:val="nil"/>
              <w:right w:val="single" w:sz="36" w:space="0" w:color="448114" w:themeColor="accent4"/>
            </w:tcBorders>
            <w:shd w:val="clear" w:color="auto" w:fill="EEECE1" w:themeFill="accent3"/>
          </w:tcPr>
          <w:p w14:paraId="2A7CA69F" w14:textId="30B56ADE" w:rsidR="00892479" w:rsidRPr="004748D5" w:rsidRDefault="00892479" w:rsidP="00190848">
            <w:pPr>
              <w:pStyle w:val="KeyBoxTitle"/>
            </w:pPr>
            <w:r>
              <w:rPr>
                <w:lang w:bidi="fr-FR"/>
              </w:rPr>
              <w:t>10 principes pour une reprise efficace et équitable de l</w:t>
            </w:r>
            <w:r w:rsidR="001E584B">
              <w:rPr>
                <w:lang w:bidi="fr-FR"/>
              </w:rPr>
              <w:t>’</w:t>
            </w:r>
            <w:r>
              <w:rPr>
                <w:lang w:bidi="fr-FR"/>
              </w:rPr>
              <w:t>éducation</w:t>
            </w:r>
          </w:p>
          <w:p w14:paraId="374B473E" w14:textId="77777777" w:rsidR="00892479" w:rsidRPr="00D3452E" w:rsidRDefault="00892479" w:rsidP="00892479">
            <w:pPr>
              <w:pStyle w:val="Para"/>
            </w:pPr>
            <w:r w:rsidRPr="00D3452E">
              <w:rPr>
                <w:lang w:bidi="fr-FR"/>
              </w:rPr>
              <w:t>Principes pour la scolarisation durant la pandémie</w:t>
            </w:r>
          </w:p>
          <w:p w14:paraId="5DF8DA75" w14:textId="77777777" w:rsidR="00892479" w:rsidRPr="00D3452E" w:rsidRDefault="00892479" w:rsidP="00892479">
            <w:pPr>
              <w:pStyle w:val="ListParagraph"/>
              <w:widowControl/>
              <w:numPr>
                <w:ilvl w:val="0"/>
                <w:numId w:val="7"/>
              </w:numPr>
              <w:tabs>
                <w:tab w:val="num" w:pos="360"/>
              </w:tabs>
              <w:contextualSpacing w:val="0"/>
              <w:jc w:val="left"/>
              <w:rPr>
                <w:color w:val="000000" w:themeColor="text1"/>
                <w:sz w:val="20"/>
              </w:rPr>
            </w:pPr>
            <w:r w:rsidRPr="00D3452E">
              <w:rPr>
                <w:color w:val="000000" w:themeColor="text1"/>
                <w:sz w:val="20"/>
                <w:lang w:bidi="fr-FR"/>
              </w:rPr>
              <w:t>Maintenir autant que possible les écoles ouvertes et en toute sécurité.</w:t>
            </w:r>
          </w:p>
          <w:p w14:paraId="2EE1988A" w14:textId="1371B657" w:rsidR="00892479" w:rsidRPr="00D3452E" w:rsidRDefault="00892479" w:rsidP="00892479">
            <w:pPr>
              <w:pStyle w:val="ListParagraph"/>
              <w:widowControl/>
              <w:numPr>
                <w:ilvl w:val="0"/>
                <w:numId w:val="7"/>
              </w:numPr>
              <w:tabs>
                <w:tab w:val="num" w:pos="360"/>
              </w:tabs>
              <w:contextualSpacing w:val="0"/>
              <w:jc w:val="left"/>
              <w:rPr>
                <w:color w:val="000000" w:themeColor="text1"/>
                <w:sz w:val="20"/>
              </w:rPr>
            </w:pPr>
            <w:r w:rsidRPr="00D3452E">
              <w:rPr>
                <w:color w:val="000000" w:themeColor="text1"/>
                <w:sz w:val="20"/>
                <w:lang w:bidi="fr-FR"/>
              </w:rPr>
              <w:t>Garantir l</w:t>
            </w:r>
            <w:r w:rsidR="001E584B">
              <w:rPr>
                <w:color w:val="000000" w:themeColor="text1"/>
                <w:sz w:val="20"/>
                <w:lang w:bidi="fr-FR"/>
              </w:rPr>
              <w:t>’</w:t>
            </w:r>
            <w:r w:rsidRPr="00D3452E">
              <w:rPr>
                <w:color w:val="000000" w:themeColor="text1"/>
                <w:sz w:val="20"/>
                <w:lang w:bidi="fr-FR"/>
              </w:rPr>
              <w:t>équité et adapter les ressources aux besoins.</w:t>
            </w:r>
          </w:p>
          <w:p w14:paraId="1FA5BE67" w14:textId="18A07031" w:rsidR="00892479" w:rsidRPr="00D3452E" w:rsidRDefault="008A51EB" w:rsidP="008A51EB">
            <w:pPr>
              <w:pStyle w:val="ListParagraph"/>
              <w:widowControl/>
              <w:numPr>
                <w:ilvl w:val="0"/>
                <w:numId w:val="7"/>
              </w:numPr>
              <w:tabs>
                <w:tab w:val="clear" w:pos="720"/>
                <w:tab w:val="num" w:pos="460"/>
              </w:tabs>
              <w:ind w:left="319" w:hanging="319"/>
              <w:contextualSpacing w:val="0"/>
              <w:jc w:val="left"/>
              <w:rPr>
                <w:color w:val="000000" w:themeColor="text1"/>
                <w:sz w:val="20"/>
              </w:rPr>
            </w:pPr>
            <w:r>
              <w:rPr>
                <w:color w:val="000000" w:themeColor="text1"/>
                <w:sz w:val="20"/>
                <w:lang w:bidi="fr-FR"/>
              </w:rPr>
              <w:t xml:space="preserve"> </w:t>
            </w:r>
            <w:r w:rsidR="00892479" w:rsidRPr="00D3452E">
              <w:rPr>
                <w:color w:val="000000" w:themeColor="text1"/>
                <w:sz w:val="20"/>
                <w:lang w:bidi="fr-FR"/>
              </w:rPr>
              <w:t>Créer une infrastructure d</w:t>
            </w:r>
            <w:r w:rsidR="001E584B">
              <w:rPr>
                <w:color w:val="000000" w:themeColor="text1"/>
                <w:sz w:val="20"/>
                <w:lang w:bidi="fr-FR"/>
              </w:rPr>
              <w:t>’</w:t>
            </w:r>
            <w:r w:rsidR="00892479" w:rsidRPr="00D3452E">
              <w:rPr>
                <w:color w:val="000000" w:themeColor="text1"/>
                <w:sz w:val="20"/>
                <w:lang w:bidi="fr-FR"/>
              </w:rPr>
              <w:t>apprentissage à distance conçue pour s</w:t>
            </w:r>
            <w:r w:rsidR="001E584B">
              <w:rPr>
                <w:color w:val="000000" w:themeColor="text1"/>
                <w:sz w:val="20"/>
                <w:lang w:bidi="fr-FR"/>
              </w:rPr>
              <w:t>’</w:t>
            </w:r>
            <w:r w:rsidR="00892479" w:rsidRPr="00D3452E">
              <w:rPr>
                <w:color w:val="000000" w:themeColor="text1"/>
                <w:sz w:val="20"/>
                <w:lang w:bidi="fr-FR"/>
              </w:rPr>
              <w:t>adresser à l</w:t>
            </w:r>
            <w:r w:rsidR="001E584B">
              <w:rPr>
                <w:color w:val="000000" w:themeColor="text1"/>
                <w:sz w:val="20"/>
                <w:lang w:bidi="fr-FR"/>
              </w:rPr>
              <w:t>’</w:t>
            </w:r>
            <w:r w:rsidR="00892479" w:rsidRPr="00D3452E">
              <w:rPr>
                <w:color w:val="000000" w:themeColor="text1"/>
                <w:sz w:val="20"/>
                <w:lang w:bidi="fr-FR"/>
              </w:rPr>
              <w:t xml:space="preserve">ensemble des </w:t>
            </w:r>
            <w:r>
              <w:rPr>
                <w:color w:val="000000" w:themeColor="text1"/>
                <w:sz w:val="20"/>
                <w:lang w:bidi="fr-FR"/>
              </w:rPr>
              <w:t xml:space="preserve">   </w:t>
            </w:r>
            <w:r w:rsidR="00892479" w:rsidRPr="00D3452E">
              <w:rPr>
                <w:color w:val="000000" w:themeColor="text1"/>
                <w:sz w:val="20"/>
                <w:lang w:bidi="fr-FR"/>
              </w:rPr>
              <w:t>élèves.</w:t>
            </w:r>
          </w:p>
          <w:p w14:paraId="348627D9" w14:textId="77777777" w:rsidR="00892479" w:rsidRPr="00D3452E" w:rsidRDefault="00892479" w:rsidP="00892479">
            <w:pPr>
              <w:pStyle w:val="ListParagraph"/>
              <w:widowControl/>
              <w:numPr>
                <w:ilvl w:val="0"/>
                <w:numId w:val="7"/>
              </w:numPr>
              <w:tabs>
                <w:tab w:val="num" w:pos="360"/>
              </w:tabs>
              <w:contextualSpacing w:val="0"/>
              <w:jc w:val="left"/>
              <w:rPr>
                <w:color w:val="000000" w:themeColor="text1"/>
                <w:sz w:val="20"/>
              </w:rPr>
            </w:pPr>
            <w:r w:rsidRPr="00D3452E">
              <w:rPr>
                <w:color w:val="000000" w:themeColor="text1"/>
                <w:sz w:val="20"/>
                <w:lang w:bidi="fr-FR"/>
              </w:rPr>
              <w:t xml:space="preserve">Soutenir les </w:t>
            </w:r>
            <w:proofErr w:type="spellStart"/>
            <w:r w:rsidRPr="00D3452E">
              <w:rPr>
                <w:color w:val="000000" w:themeColor="text1"/>
                <w:sz w:val="20"/>
                <w:lang w:bidi="fr-FR"/>
              </w:rPr>
              <w:t>enseignant·e·s</w:t>
            </w:r>
            <w:proofErr w:type="spellEnd"/>
            <w:r w:rsidRPr="00D3452E">
              <w:rPr>
                <w:color w:val="000000" w:themeColor="text1"/>
                <w:sz w:val="20"/>
                <w:lang w:bidi="fr-FR"/>
              </w:rPr>
              <w:t xml:space="preserve"> dans leur vie professionnelle.</w:t>
            </w:r>
          </w:p>
          <w:p w14:paraId="19B36CAD" w14:textId="77777777" w:rsidR="00892479" w:rsidRPr="00D3452E" w:rsidRDefault="00892479" w:rsidP="00892479">
            <w:pPr>
              <w:pStyle w:val="ListParagraph"/>
              <w:widowControl/>
              <w:numPr>
                <w:ilvl w:val="0"/>
                <w:numId w:val="7"/>
              </w:numPr>
              <w:tabs>
                <w:tab w:val="num" w:pos="360"/>
              </w:tabs>
              <w:contextualSpacing w:val="0"/>
              <w:jc w:val="left"/>
              <w:rPr>
                <w:color w:val="000000" w:themeColor="text1"/>
                <w:sz w:val="20"/>
              </w:rPr>
            </w:pPr>
            <w:r w:rsidRPr="00D3452E">
              <w:rPr>
                <w:color w:val="000000" w:themeColor="text1"/>
                <w:sz w:val="20"/>
                <w:lang w:bidi="fr-FR"/>
              </w:rPr>
              <w:t xml:space="preserve">Offrir aux </w:t>
            </w:r>
            <w:proofErr w:type="spellStart"/>
            <w:r w:rsidRPr="00D3452E">
              <w:rPr>
                <w:color w:val="000000" w:themeColor="text1"/>
                <w:sz w:val="20"/>
                <w:lang w:bidi="fr-FR"/>
              </w:rPr>
              <w:t>enseignant·e·s</w:t>
            </w:r>
            <w:proofErr w:type="spellEnd"/>
            <w:r w:rsidRPr="00D3452E">
              <w:rPr>
                <w:color w:val="000000" w:themeColor="text1"/>
                <w:sz w:val="20"/>
                <w:lang w:bidi="fr-FR"/>
              </w:rPr>
              <w:t xml:space="preserve"> et aux parents les moyens de soutenir les élèves.</w:t>
            </w:r>
          </w:p>
          <w:p w14:paraId="135CEF35" w14:textId="46FF1E0E" w:rsidR="00892479" w:rsidRPr="00D3452E" w:rsidRDefault="00892479" w:rsidP="00892479">
            <w:pPr>
              <w:pStyle w:val="Para"/>
            </w:pPr>
            <w:r w:rsidRPr="00D3452E">
              <w:rPr>
                <w:lang w:bidi="fr-FR"/>
              </w:rPr>
              <w:t>Principes pour une reprise en faveur d</w:t>
            </w:r>
            <w:r w:rsidR="001E584B">
              <w:rPr>
                <w:lang w:bidi="fr-FR"/>
              </w:rPr>
              <w:t>’</w:t>
            </w:r>
            <w:r w:rsidRPr="00D3452E">
              <w:rPr>
                <w:lang w:bidi="fr-FR"/>
              </w:rPr>
              <w:t>une éducation efficace et équitable</w:t>
            </w:r>
          </w:p>
          <w:p w14:paraId="6F518D3B" w14:textId="77777777" w:rsidR="00892479" w:rsidRPr="00D3452E" w:rsidRDefault="00892479" w:rsidP="00A5284A">
            <w:pPr>
              <w:pStyle w:val="ListParagraph"/>
              <w:widowControl/>
              <w:numPr>
                <w:ilvl w:val="0"/>
                <w:numId w:val="7"/>
              </w:numPr>
              <w:tabs>
                <w:tab w:val="clear" w:pos="720"/>
                <w:tab w:val="num" w:pos="360"/>
              </w:tabs>
              <w:ind w:left="319" w:hanging="319"/>
              <w:contextualSpacing w:val="0"/>
              <w:jc w:val="left"/>
              <w:rPr>
                <w:color w:val="000000" w:themeColor="text1"/>
                <w:sz w:val="20"/>
              </w:rPr>
            </w:pPr>
            <w:r w:rsidRPr="00D3452E">
              <w:rPr>
                <w:color w:val="000000" w:themeColor="text1"/>
                <w:sz w:val="20"/>
                <w:lang w:bidi="fr-FR"/>
              </w:rPr>
              <w:t>Apporter un soutien ciblé pour répondre aux besoins éducatifs, sociaux et émotionnels des élèves.</w:t>
            </w:r>
          </w:p>
          <w:p w14:paraId="26A40D7E" w14:textId="217A6836" w:rsidR="00892479" w:rsidRPr="00D3452E" w:rsidRDefault="00892479" w:rsidP="00A5284A">
            <w:pPr>
              <w:pStyle w:val="ListParagraph"/>
              <w:widowControl/>
              <w:numPr>
                <w:ilvl w:val="0"/>
                <w:numId w:val="7"/>
              </w:numPr>
              <w:tabs>
                <w:tab w:val="clear" w:pos="720"/>
                <w:tab w:val="num" w:pos="360"/>
              </w:tabs>
              <w:ind w:left="319" w:hanging="319"/>
              <w:contextualSpacing w:val="0"/>
              <w:jc w:val="left"/>
              <w:rPr>
                <w:color w:val="000000" w:themeColor="text1"/>
                <w:sz w:val="20"/>
              </w:rPr>
            </w:pPr>
            <w:r w:rsidRPr="00D3452E">
              <w:rPr>
                <w:color w:val="000000" w:themeColor="text1"/>
                <w:sz w:val="20"/>
                <w:lang w:bidi="fr-FR"/>
              </w:rPr>
              <w:t>Concevoir une infrastructure d</w:t>
            </w:r>
            <w:r w:rsidR="001E584B">
              <w:rPr>
                <w:color w:val="000000" w:themeColor="text1"/>
                <w:sz w:val="20"/>
                <w:lang w:bidi="fr-FR"/>
              </w:rPr>
              <w:t>’</w:t>
            </w:r>
            <w:r w:rsidRPr="00D3452E">
              <w:rPr>
                <w:color w:val="000000" w:themeColor="text1"/>
                <w:sz w:val="20"/>
                <w:lang w:bidi="fr-FR"/>
              </w:rPr>
              <w:t xml:space="preserve">apprentissage numérique performante avec </w:t>
            </w:r>
            <w:proofErr w:type="gramStart"/>
            <w:r w:rsidRPr="00D3452E">
              <w:rPr>
                <w:color w:val="000000" w:themeColor="text1"/>
                <w:sz w:val="20"/>
                <w:lang w:bidi="fr-FR"/>
              </w:rPr>
              <w:t xml:space="preserve">les </w:t>
            </w:r>
            <w:proofErr w:type="spellStart"/>
            <w:r w:rsidRPr="00D3452E">
              <w:rPr>
                <w:color w:val="000000" w:themeColor="text1"/>
                <w:sz w:val="20"/>
                <w:lang w:bidi="fr-FR"/>
              </w:rPr>
              <w:t>enseignant</w:t>
            </w:r>
            <w:proofErr w:type="gramEnd"/>
            <w:r w:rsidRPr="00D3452E">
              <w:rPr>
                <w:color w:val="000000" w:themeColor="text1"/>
                <w:sz w:val="20"/>
                <w:lang w:bidi="fr-FR"/>
              </w:rPr>
              <w:t>·e·s</w:t>
            </w:r>
            <w:proofErr w:type="spellEnd"/>
            <w:r w:rsidRPr="00D3452E">
              <w:rPr>
                <w:color w:val="000000" w:themeColor="text1"/>
                <w:sz w:val="20"/>
                <w:lang w:bidi="fr-FR"/>
              </w:rPr>
              <w:t xml:space="preserve"> et les parties prenantes.</w:t>
            </w:r>
          </w:p>
          <w:p w14:paraId="7EA65464" w14:textId="49C318F3" w:rsidR="00892479" w:rsidRPr="00D3452E" w:rsidRDefault="00892479" w:rsidP="008A51EB">
            <w:pPr>
              <w:pStyle w:val="ListParagraph"/>
              <w:widowControl/>
              <w:numPr>
                <w:ilvl w:val="0"/>
                <w:numId w:val="7"/>
              </w:numPr>
              <w:tabs>
                <w:tab w:val="clear" w:pos="720"/>
                <w:tab w:val="num" w:pos="360"/>
              </w:tabs>
              <w:ind w:left="319" w:hanging="319"/>
              <w:contextualSpacing w:val="0"/>
              <w:jc w:val="left"/>
              <w:rPr>
                <w:color w:val="000000" w:themeColor="text1"/>
                <w:sz w:val="20"/>
              </w:rPr>
            </w:pPr>
            <w:r w:rsidRPr="00D3452E">
              <w:rPr>
                <w:color w:val="000000" w:themeColor="text1"/>
                <w:sz w:val="20"/>
                <w:lang w:bidi="fr-FR"/>
              </w:rPr>
              <w:t xml:space="preserve">Donner aux </w:t>
            </w:r>
            <w:proofErr w:type="spellStart"/>
            <w:r w:rsidRPr="00D3452E">
              <w:rPr>
                <w:color w:val="000000" w:themeColor="text1"/>
                <w:sz w:val="20"/>
                <w:lang w:bidi="fr-FR"/>
              </w:rPr>
              <w:t>enseignant·e·s</w:t>
            </w:r>
            <w:proofErr w:type="spellEnd"/>
            <w:r w:rsidRPr="00D3452E">
              <w:rPr>
                <w:color w:val="000000" w:themeColor="text1"/>
                <w:sz w:val="20"/>
                <w:lang w:bidi="fr-FR"/>
              </w:rPr>
              <w:t xml:space="preserve"> les moyens d</w:t>
            </w:r>
            <w:r w:rsidR="001E584B">
              <w:rPr>
                <w:color w:val="000000" w:themeColor="text1"/>
                <w:sz w:val="20"/>
                <w:lang w:bidi="fr-FR"/>
              </w:rPr>
              <w:t>’</w:t>
            </w:r>
            <w:r w:rsidRPr="00D3452E">
              <w:rPr>
                <w:color w:val="000000" w:themeColor="text1"/>
                <w:sz w:val="20"/>
                <w:lang w:bidi="fr-FR"/>
              </w:rPr>
              <w:t>exercer leur professionnalisme et leur offrir des opportunités de formation professionnelle.</w:t>
            </w:r>
          </w:p>
          <w:p w14:paraId="4E007451" w14:textId="2528F144" w:rsidR="00892479" w:rsidRPr="00D3452E" w:rsidRDefault="00892479" w:rsidP="00892479">
            <w:pPr>
              <w:pStyle w:val="ListParagraph"/>
              <w:widowControl/>
              <w:numPr>
                <w:ilvl w:val="0"/>
                <w:numId w:val="7"/>
              </w:numPr>
              <w:tabs>
                <w:tab w:val="num" w:pos="360"/>
              </w:tabs>
              <w:contextualSpacing w:val="0"/>
              <w:jc w:val="left"/>
              <w:rPr>
                <w:color w:val="000000" w:themeColor="text1"/>
                <w:sz w:val="20"/>
              </w:rPr>
            </w:pPr>
            <w:r w:rsidRPr="00D3452E">
              <w:rPr>
                <w:color w:val="000000" w:themeColor="text1"/>
                <w:sz w:val="20"/>
                <w:lang w:bidi="fr-FR"/>
              </w:rPr>
              <w:t>Encourager une culture collaborative de l</w:t>
            </w:r>
            <w:r w:rsidR="001E584B">
              <w:rPr>
                <w:color w:val="000000" w:themeColor="text1"/>
                <w:sz w:val="20"/>
                <w:lang w:bidi="fr-FR"/>
              </w:rPr>
              <w:t>’</w:t>
            </w:r>
            <w:r w:rsidRPr="00D3452E">
              <w:rPr>
                <w:color w:val="000000" w:themeColor="text1"/>
                <w:sz w:val="20"/>
                <w:lang w:bidi="fr-FR"/>
              </w:rPr>
              <w:t>innovation.</w:t>
            </w:r>
          </w:p>
          <w:p w14:paraId="0B10E56D" w14:textId="77458A68" w:rsidR="00892479" w:rsidRPr="00190848" w:rsidRDefault="00892479" w:rsidP="00190848">
            <w:pPr>
              <w:pStyle w:val="ListParagraph"/>
              <w:widowControl/>
              <w:numPr>
                <w:ilvl w:val="0"/>
                <w:numId w:val="7"/>
              </w:numPr>
              <w:tabs>
                <w:tab w:val="num" w:pos="360"/>
              </w:tabs>
              <w:contextualSpacing w:val="0"/>
              <w:jc w:val="left"/>
              <w:rPr>
                <w:color w:val="000000" w:themeColor="text1"/>
                <w:sz w:val="20"/>
              </w:rPr>
            </w:pPr>
            <w:r w:rsidRPr="00D3452E">
              <w:rPr>
                <w:color w:val="000000" w:themeColor="text1"/>
                <w:sz w:val="20"/>
                <w:lang w:bidi="fr-FR"/>
              </w:rPr>
              <w:t>Tirer des enseignements des études nationales et internationales.</w:t>
            </w:r>
          </w:p>
        </w:tc>
      </w:tr>
    </w:tbl>
    <w:p w14:paraId="27DAA4DD" w14:textId="48E38C87" w:rsidR="00175CA8" w:rsidRPr="00D3452E" w:rsidRDefault="00175CA8" w:rsidP="00802A87">
      <w:pPr>
        <w:pStyle w:val="Heading1"/>
        <w:framePr w:wrap="notBeside"/>
        <w:numPr>
          <w:ilvl w:val="0"/>
          <w:numId w:val="0"/>
        </w:numPr>
        <w:ind w:left="113"/>
      </w:pPr>
      <w:r w:rsidRPr="00D3452E">
        <w:rPr>
          <w:lang w:bidi="fr-FR"/>
        </w:rPr>
        <w:lastRenderedPageBreak/>
        <w:t>Scolarisation durant la pandémie</w:t>
      </w:r>
    </w:p>
    <w:p w14:paraId="026DFA67" w14:textId="21EBCFA1" w:rsidR="008B7236" w:rsidRPr="00D3452E" w:rsidRDefault="008B7236" w:rsidP="00175CA8">
      <w:pPr>
        <w:pStyle w:val="Para"/>
      </w:pPr>
      <w:r w:rsidRPr="00D3452E">
        <w:rPr>
          <w:lang w:bidi="fr-FR"/>
        </w:rPr>
        <w:t>L</w:t>
      </w:r>
      <w:r w:rsidR="001E584B">
        <w:rPr>
          <w:lang w:bidi="fr-FR"/>
        </w:rPr>
        <w:t>’</w:t>
      </w:r>
      <w:r w:rsidRPr="00D3452E">
        <w:rPr>
          <w:lang w:bidi="fr-FR"/>
        </w:rPr>
        <w:t>objectif majeur durant la pandémie consiste à assurer la continuité de l</w:t>
      </w:r>
      <w:r w:rsidR="001E584B">
        <w:rPr>
          <w:lang w:bidi="fr-FR"/>
        </w:rPr>
        <w:t>’</w:t>
      </w:r>
      <w:r w:rsidRPr="00D3452E">
        <w:rPr>
          <w:lang w:bidi="fr-FR"/>
        </w:rPr>
        <w:t>apprentissage et à protéger le bien-être des élèves. L</w:t>
      </w:r>
      <w:r w:rsidR="001E584B">
        <w:rPr>
          <w:lang w:bidi="fr-FR"/>
        </w:rPr>
        <w:t>’</w:t>
      </w:r>
      <w:r w:rsidRPr="00D3452E">
        <w:rPr>
          <w:lang w:bidi="fr-FR"/>
        </w:rPr>
        <w:t>apprentissage et l</w:t>
      </w:r>
      <w:r w:rsidR="001E584B">
        <w:rPr>
          <w:lang w:bidi="fr-FR"/>
        </w:rPr>
        <w:t>’</w:t>
      </w:r>
      <w:r w:rsidRPr="00D3452E">
        <w:rPr>
          <w:lang w:bidi="fr-FR"/>
        </w:rPr>
        <w:t>enseignement ne sont pas uniquement un service transactionnel, ils supposent également une expérience sociale et relationnelle. La fermeture des établissements scolaires a mis en évidence leur importance en tant que lieux propices à l</w:t>
      </w:r>
      <w:r w:rsidR="001E584B">
        <w:rPr>
          <w:lang w:bidi="fr-FR"/>
        </w:rPr>
        <w:t>’</w:t>
      </w:r>
      <w:r w:rsidRPr="00D3452E">
        <w:rPr>
          <w:lang w:bidi="fr-FR"/>
        </w:rPr>
        <w:t>interaction sociale. La pandémie a limité la dimension sociale de l</w:t>
      </w:r>
      <w:r w:rsidR="001E584B">
        <w:rPr>
          <w:lang w:bidi="fr-FR"/>
        </w:rPr>
        <w:t>’</w:t>
      </w:r>
      <w:r w:rsidRPr="00D3452E">
        <w:rPr>
          <w:lang w:bidi="fr-FR"/>
        </w:rPr>
        <w:t xml:space="preserve">apprentissage, que ne peuvent reproduire pleinement les moyens virtuels. </w:t>
      </w:r>
    </w:p>
    <w:p w14:paraId="5803AFB0" w14:textId="77777777" w:rsidR="00BF0B97" w:rsidRPr="00D3452E" w:rsidRDefault="00BF0B97" w:rsidP="00175CA8">
      <w:pPr>
        <w:pStyle w:val="Para"/>
      </w:pPr>
    </w:p>
    <w:p w14:paraId="473094D8" w14:textId="24E078F0" w:rsidR="003F4BE4" w:rsidRPr="00D3452E" w:rsidRDefault="00175CA8" w:rsidP="00175CA8">
      <w:pPr>
        <w:pStyle w:val="Para"/>
      </w:pPr>
      <w:r w:rsidRPr="00D3452E">
        <w:rPr>
          <w:b/>
          <w:lang w:bidi="fr-FR"/>
        </w:rPr>
        <w:t>Principe 1.</w:t>
      </w:r>
      <w:r w:rsidRPr="00D3452E">
        <w:rPr>
          <w:lang w:bidi="fr-FR"/>
        </w:rPr>
        <w:t xml:space="preserve"> </w:t>
      </w:r>
      <w:r w:rsidRPr="00D3452E">
        <w:rPr>
          <w:b/>
          <w:lang w:bidi="fr-FR"/>
        </w:rPr>
        <w:t>Maintenir autant que possible les écoles ouvertes et en toute sécurité.</w:t>
      </w:r>
    </w:p>
    <w:p w14:paraId="1A1B85B1" w14:textId="03D5BB68" w:rsidR="00A94192" w:rsidRPr="00D3452E" w:rsidRDefault="000A7061" w:rsidP="008E47CE">
      <w:pPr>
        <w:pStyle w:val="Para"/>
      </w:pPr>
      <w:r w:rsidRPr="00D3452E">
        <w:rPr>
          <w:lang w:bidi="fr-FR"/>
        </w:rPr>
        <w:t>Durant une pandémie, il est essentiel d</w:t>
      </w:r>
      <w:r w:rsidR="001E584B">
        <w:rPr>
          <w:lang w:bidi="fr-FR"/>
        </w:rPr>
        <w:t>’</w:t>
      </w:r>
      <w:r w:rsidRPr="00D3452E">
        <w:rPr>
          <w:lang w:bidi="fr-FR"/>
        </w:rPr>
        <w:t>assurer la fiabilité et la prévisibilité des services d</w:t>
      </w:r>
      <w:r w:rsidR="001E584B">
        <w:rPr>
          <w:lang w:bidi="fr-FR"/>
        </w:rPr>
        <w:t>’</w:t>
      </w:r>
      <w:r w:rsidRPr="00D3452E">
        <w:rPr>
          <w:lang w:bidi="fr-FR"/>
        </w:rPr>
        <w:t xml:space="preserve">éducation pour les élèves et les parents. Même durant la fermeture des écoles, chaque élève doit avoir un contact quotidien et spécifique avec ses </w:t>
      </w:r>
      <w:proofErr w:type="spellStart"/>
      <w:r w:rsidRPr="00D3452E">
        <w:rPr>
          <w:lang w:bidi="fr-FR"/>
        </w:rPr>
        <w:t>enseignant·e·s</w:t>
      </w:r>
      <w:proofErr w:type="spellEnd"/>
      <w:r w:rsidRPr="00D3452E">
        <w:rPr>
          <w:lang w:bidi="fr-FR"/>
        </w:rPr>
        <w:t>. Il importe d</w:t>
      </w:r>
      <w:r w:rsidR="001E584B">
        <w:rPr>
          <w:lang w:bidi="fr-FR"/>
        </w:rPr>
        <w:t>’</w:t>
      </w:r>
      <w:r w:rsidRPr="00D3452E">
        <w:rPr>
          <w:lang w:bidi="fr-FR"/>
        </w:rPr>
        <w:t>éviter les longues périodes d</w:t>
      </w:r>
      <w:r w:rsidR="001E584B">
        <w:rPr>
          <w:lang w:bidi="fr-FR"/>
        </w:rPr>
        <w:t>’</w:t>
      </w:r>
      <w:r w:rsidRPr="00D3452E">
        <w:rPr>
          <w:lang w:bidi="fr-FR"/>
        </w:rPr>
        <w:t>apprentissage à distance. Les programmes quotidiens d</w:t>
      </w:r>
      <w:r w:rsidR="001E584B">
        <w:rPr>
          <w:lang w:bidi="fr-FR"/>
        </w:rPr>
        <w:t>’</w:t>
      </w:r>
      <w:r w:rsidRPr="00D3452E">
        <w:rPr>
          <w:lang w:bidi="fr-FR"/>
        </w:rPr>
        <w:t xml:space="preserve">enseignement hybride se veulent plus efficaces que les programmes hebdomadaires ou mensuels. </w:t>
      </w:r>
    </w:p>
    <w:p w14:paraId="5BB02332" w14:textId="7E46ABB5" w:rsidR="00175CA8" w:rsidRPr="00D3452E" w:rsidRDefault="0C21741F" w:rsidP="00175CA8">
      <w:pPr>
        <w:pStyle w:val="Para"/>
      </w:pPr>
      <w:r>
        <w:rPr>
          <w:lang w:bidi="fr-FR"/>
        </w:rPr>
        <w:t>La pandémie a mis en avant le rôle essentiel des écoles dans le cadre de l</w:t>
      </w:r>
      <w:r w:rsidR="001E584B">
        <w:rPr>
          <w:lang w:bidi="fr-FR"/>
        </w:rPr>
        <w:t>’</w:t>
      </w:r>
      <w:r>
        <w:rPr>
          <w:lang w:bidi="fr-FR"/>
        </w:rPr>
        <w:t>éducation des enfants et des jeunes. Dans la mesure du possible, les écoles doivent rester ouvertes, en appliquant des mesures sanitaires adéquates pour minimiser les risques pour les élèves, le personnel et le reste de la population. Il importe de définir un ensemble de critères transparents pour les écoles et les services d</w:t>
      </w:r>
      <w:r w:rsidR="001E584B">
        <w:rPr>
          <w:lang w:bidi="fr-FR"/>
        </w:rPr>
        <w:t>’</w:t>
      </w:r>
      <w:r>
        <w:rPr>
          <w:lang w:bidi="fr-FR"/>
        </w:rPr>
        <w:t>éducation, tels que les bulles sociales stables, le port du masque, la ventilation, le dépistage, la quarantaine, la vaccination, la fermeture des classes ou des écoles, avec suffisamment de flexibilité pour les mettre en œuvre en première ligne. L</w:t>
      </w:r>
      <w:r w:rsidR="001E584B">
        <w:rPr>
          <w:lang w:bidi="fr-FR"/>
        </w:rPr>
        <w:t>’</w:t>
      </w:r>
      <w:r>
        <w:rPr>
          <w:lang w:bidi="fr-FR"/>
        </w:rPr>
        <w:t>apprentissage hybride et l</w:t>
      </w:r>
      <w:r w:rsidR="001E584B">
        <w:rPr>
          <w:lang w:bidi="fr-FR"/>
        </w:rPr>
        <w:t>’</w:t>
      </w:r>
      <w:r>
        <w:rPr>
          <w:lang w:bidi="fr-FR"/>
        </w:rPr>
        <w:t>apprentissage à distance doivent être les deuxième et troisième options privilégiées, uniquement lorsque le maintien des écoles ouvertes rend impossible de garantir la sécurité des élèves et du personnel. L</w:t>
      </w:r>
      <w:r w:rsidR="001E584B">
        <w:rPr>
          <w:lang w:bidi="fr-FR"/>
        </w:rPr>
        <w:t>’</w:t>
      </w:r>
      <w:r>
        <w:rPr>
          <w:lang w:bidi="fr-FR"/>
        </w:rPr>
        <w:t>apprentissage hybride permet aux écoles de prendre en charge un nombre moins élevé d</w:t>
      </w:r>
      <w:r w:rsidR="001E584B">
        <w:rPr>
          <w:lang w:bidi="fr-FR"/>
        </w:rPr>
        <w:t>’</w:t>
      </w:r>
      <w:r>
        <w:rPr>
          <w:lang w:bidi="fr-FR"/>
        </w:rPr>
        <w:t>élèves à n</w:t>
      </w:r>
      <w:r w:rsidR="001E584B">
        <w:rPr>
          <w:lang w:bidi="fr-FR"/>
        </w:rPr>
        <w:t>’</w:t>
      </w:r>
      <w:r>
        <w:rPr>
          <w:lang w:bidi="fr-FR"/>
        </w:rPr>
        <w:t>importe quel moment et peut prendre diverses formes : études en alternance, enseignement moins fréquent à des classes entières, alternance d</w:t>
      </w:r>
      <w:r w:rsidR="001E584B">
        <w:rPr>
          <w:lang w:bidi="fr-FR"/>
        </w:rPr>
        <w:t>’</w:t>
      </w:r>
      <w:r>
        <w:rPr>
          <w:lang w:bidi="fr-FR"/>
        </w:rPr>
        <w:t>activités présentielles et distancielles. Il est essentiel de définir des critères et des principes directeurs transparents, en se basant sur les niveaux d</w:t>
      </w:r>
      <w:r w:rsidR="001E584B">
        <w:rPr>
          <w:lang w:bidi="fr-FR"/>
        </w:rPr>
        <w:t>’</w:t>
      </w:r>
      <w:r>
        <w:rPr>
          <w:lang w:bidi="fr-FR"/>
        </w:rPr>
        <w:t>infection et d</w:t>
      </w:r>
      <w:r w:rsidR="001E584B">
        <w:rPr>
          <w:lang w:bidi="fr-FR"/>
        </w:rPr>
        <w:t>’</w:t>
      </w:r>
      <w:r>
        <w:rPr>
          <w:lang w:bidi="fr-FR"/>
        </w:rPr>
        <w:t>autres facteurs pertinents pour déterminer les différentes modalités de scolarisation, tout comme il importe de disposer de suffisamment de flexibilité pour les mettre en œuvre en première ligne. La collaboration est le meilleur moyen de réunir les conditions les plus propices à l</w:t>
      </w:r>
      <w:r w:rsidR="001E584B">
        <w:rPr>
          <w:lang w:bidi="fr-FR"/>
        </w:rPr>
        <w:t>’</w:t>
      </w:r>
      <w:r>
        <w:rPr>
          <w:lang w:bidi="fr-FR"/>
        </w:rPr>
        <w:t>apprentissage, l</w:t>
      </w:r>
      <w:r w:rsidR="001E584B">
        <w:rPr>
          <w:lang w:bidi="fr-FR"/>
        </w:rPr>
        <w:t>’</w:t>
      </w:r>
      <w:r>
        <w:rPr>
          <w:lang w:bidi="fr-FR"/>
        </w:rPr>
        <w:t xml:space="preserve">évaluation et le développement social et émotionnel. Les juridictions et les autorités éducatives doivent travailler ensemble avec </w:t>
      </w:r>
      <w:proofErr w:type="gramStart"/>
      <w:r>
        <w:rPr>
          <w:lang w:bidi="fr-FR"/>
        </w:rPr>
        <w:t xml:space="preserve">les </w:t>
      </w:r>
      <w:proofErr w:type="spellStart"/>
      <w:r>
        <w:rPr>
          <w:lang w:bidi="fr-FR"/>
        </w:rPr>
        <w:t>enseignant</w:t>
      </w:r>
      <w:proofErr w:type="gramEnd"/>
      <w:r>
        <w:rPr>
          <w:lang w:bidi="fr-FR"/>
        </w:rPr>
        <w:t>·e·s</w:t>
      </w:r>
      <w:proofErr w:type="spellEnd"/>
      <w:r>
        <w:rPr>
          <w:lang w:bidi="fr-FR"/>
        </w:rPr>
        <w:t xml:space="preserve"> et leurs organisations, les parents, les communautés et les diverses parties prenantes de l</w:t>
      </w:r>
      <w:r w:rsidR="001E584B">
        <w:rPr>
          <w:lang w:bidi="fr-FR"/>
        </w:rPr>
        <w:t>’</w:t>
      </w:r>
      <w:r>
        <w:rPr>
          <w:lang w:bidi="fr-FR"/>
        </w:rPr>
        <w:t>éducation pour atteindre cet objectif</w:t>
      </w:r>
      <w:bookmarkStart w:id="0" w:name="_Hlk64747367"/>
      <w:r>
        <w:rPr>
          <w:lang w:bidi="fr-FR"/>
        </w:rPr>
        <w:t>.</w:t>
      </w:r>
    </w:p>
    <w:p w14:paraId="5BE0A224" w14:textId="3E14FECC" w:rsidR="000752FF" w:rsidRPr="00D3452E" w:rsidRDefault="000752FF" w:rsidP="000752FF">
      <w:pPr>
        <w:pStyle w:val="Para"/>
      </w:pPr>
      <w:r w:rsidRPr="00D3452E">
        <w:rPr>
          <w:lang w:bidi="fr-FR"/>
        </w:rPr>
        <w:t>Face aux contraintes liées à la capacité d</w:t>
      </w:r>
      <w:r w:rsidR="001E584B">
        <w:rPr>
          <w:lang w:bidi="fr-FR"/>
        </w:rPr>
        <w:t>’</w:t>
      </w:r>
      <w:r w:rsidRPr="00D3452E">
        <w:rPr>
          <w:lang w:bidi="fr-FR"/>
        </w:rPr>
        <w:t>apprentissage, se traduisant le plus souvent par un temps d</w:t>
      </w:r>
      <w:r w:rsidR="001E584B">
        <w:rPr>
          <w:lang w:bidi="fr-FR"/>
        </w:rPr>
        <w:t>’</w:t>
      </w:r>
      <w:r w:rsidRPr="00D3452E">
        <w:rPr>
          <w:lang w:bidi="fr-FR"/>
        </w:rPr>
        <w:t>apprentissage effectif plus limité, les systèmes éducatifs doivent définir clairement leurs priorités concernant les matières à enseigner, afin de pouvoir maintenir un équilibre entre le développement cognitif, social et émotionnel des élèves. Lorsque l</w:t>
      </w:r>
      <w:r w:rsidR="001E584B">
        <w:rPr>
          <w:lang w:bidi="fr-FR"/>
        </w:rPr>
        <w:t>’</w:t>
      </w:r>
      <w:r w:rsidRPr="00D3452E">
        <w:rPr>
          <w:lang w:bidi="fr-FR"/>
        </w:rPr>
        <w:t>enseignement présentiel est limité ou restreint, la priorité doit être donnée à l</w:t>
      </w:r>
      <w:r w:rsidR="001E584B">
        <w:rPr>
          <w:lang w:bidi="fr-FR"/>
        </w:rPr>
        <w:t>’</w:t>
      </w:r>
      <w:r w:rsidRPr="00D3452E">
        <w:rPr>
          <w:lang w:bidi="fr-FR"/>
        </w:rPr>
        <w:t>enseignement de nouvelles matières, à la préparation et à la révision des matières apprises à distance, à la motivation, au développement de stratégies d</w:t>
      </w:r>
      <w:r w:rsidR="001E584B">
        <w:rPr>
          <w:lang w:bidi="fr-FR"/>
        </w:rPr>
        <w:t>’</w:t>
      </w:r>
      <w:r w:rsidRPr="00D3452E">
        <w:rPr>
          <w:lang w:bidi="fr-FR"/>
        </w:rPr>
        <w:t>apprentissage efficaces et à l</w:t>
      </w:r>
      <w:r w:rsidR="001E584B">
        <w:rPr>
          <w:lang w:bidi="fr-FR"/>
        </w:rPr>
        <w:t>’</w:t>
      </w:r>
      <w:r w:rsidRPr="00D3452E">
        <w:rPr>
          <w:lang w:bidi="fr-FR"/>
        </w:rPr>
        <w:t>apprentissage social. L</w:t>
      </w:r>
      <w:r w:rsidR="001E584B">
        <w:rPr>
          <w:lang w:bidi="fr-FR"/>
        </w:rPr>
        <w:t>’</w:t>
      </w:r>
      <w:r w:rsidRPr="00D3452E">
        <w:rPr>
          <w:lang w:bidi="fr-FR"/>
        </w:rPr>
        <w:t>enseignement présentiel est particulièrement important dans le cadre de l</w:t>
      </w:r>
      <w:r w:rsidR="001E584B">
        <w:rPr>
          <w:lang w:bidi="fr-FR"/>
        </w:rPr>
        <w:t>’</w:t>
      </w:r>
      <w:r w:rsidRPr="00D3452E">
        <w:rPr>
          <w:lang w:bidi="fr-FR"/>
        </w:rPr>
        <w:t xml:space="preserve">éducation de la petite enfance, où les contacts directs avec </w:t>
      </w:r>
      <w:proofErr w:type="gramStart"/>
      <w:r w:rsidRPr="00D3452E">
        <w:rPr>
          <w:lang w:bidi="fr-FR"/>
        </w:rPr>
        <w:t xml:space="preserve">les </w:t>
      </w:r>
      <w:proofErr w:type="spellStart"/>
      <w:r w:rsidRPr="00D3452E">
        <w:rPr>
          <w:lang w:bidi="fr-FR"/>
        </w:rPr>
        <w:t>éducateur</w:t>
      </w:r>
      <w:proofErr w:type="gramEnd"/>
      <w:r w:rsidRPr="00D3452E">
        <w:rPr>
          <w:lang w:bidi="fr-FR"/>
        </w:rPr>
        <w:t>·rice·s</w:t>
      </w:r>
      <w:proofErr w:type="spellEnd"/>
      <w:r w:rsidRPr="00D3452E">
        <w:rPr>
          <w:lang w:bidi="fr-FR"/>
        </w:rPr>
        <w:t xml:space="preserve"> sont primordiaux et les alternatives numériques moins efficaces.</w:t>
      </w:r>
    </w:p>
    <w:p w14:paraId="6ED90FEE" w14:textId="77777777" w:rsidR="000752FF" w:rsidRPr="00D3452E" w:rsidRDefault="000752FF" w:rsidP="00175CA8">
      <w:pPr>
        <w:pStyle w:val="Para"/>
      </w:pPr>
    </w:p>
    <w:bookmarkEnd w:id="0"/>
    <w:p w14:paraId="030A17A3" w14:textId="2D503823" w:rsidR="003F4BE4" w:rsidRPr="00D3452E" w:rsidRDefault="00C62DDC" w:rsidP="00C62DDC">
      <w:pPr>
        <w:pStyle w:val="Para"/>
      </w:pPr>
      <w:r w:rsidRPr="00D3452E">
        <w:rPr>
          <w:b/>
          <w:lang w:bidi="fr-FR"/>
        </w:rPr>
        <w:t>Principe 2.</w:t>
      </w:r>
      <w:r w:rsidRPr="00D3452E">
        <w:rPr>
          <w:lang w:bidi="fr-FR"/>
        </w:rPr>
        <w:t xml:space="preserve"> </w:t>
      </w:r>
      <w:r w:rsidRPr="00D3452E">
        <w:rPr>
          <w:b/>
          <w:lang w:bidi="fr-FR"/>
        </w:rPr>
        <w:t>Garantir l</w:t>
      </w:r>
      <w:r w:rsidR="001E584B">
        <w:rPr>
          <w:b/>
          <w:lang w:bidi="fr-FR"/>
        </w:rPr>
        <w:t>’</w:t>
      </w:r>
      <w:r w:rsidRPr="00D3452E">
        <w:rPr>
          <w:b/>
          <w:lang w:bidi="fr-FR"/>
        </w:rPr>
        <w:t xml:space="preserve">équité et adapter les ressources aux besoins. </w:t>
      </w:r>
    </w:p>
    <w:p w14:paraId="773DCC0C" w14:textId="58894568" w:rsidR="00C62DDC" w:rsidRDefault="005F6D88" w:rsidP="00C62DDC">
      <w:pPr>
        <w:pStyle w:val="Para"/>
      </w:pPr>
      <w:r w:rsidRPr="00D3452E">
        <w:rPr>
          <w:lang w:bidi="fr-FR"/>
        </w:rPr>
        <w:t>La crise provoquée par la pandémie doit être suivie d</w:t>
      </w:r>
      <w:r w:rsidR="001E584B">
        <w:rPr>
          <w:lang w:bidi="fr-FR"/>
        </w:rPr>
        <w:t>’</w:t>
      </w:r>
      <w:r w:rsidRPr="00D3452E">
        <w:rPr>
          <w:lang w:bidi="fr-FR"/>
        </w:rPr>
        <w:t xml:space="preserve">une reprise visant à lutter contre les inégalités. Les besoins des élèves </w:t>
      </w:r>
      <w:proofErr w:type="spellStart"/>
      <w:r w:rsidRPr="00D3452E">
        <w:rPr>
          <w:lang w:bidi="fr-FR"/>
        </w:rPr>
        <w:t>issu·e·s</w:t>
      </w:r>
      <w:proofErr w:type="spellEnd"/>
      <w:r w:rsidRPr="00D3452E">
        <w:rPr>
          <w:lang w:bidi="fr-FR"/>
        </w:rPr>
        <w:t xml:space="preserve"> de milieux socio-économiquement défavorisés et des élèves particulièrement </w:t>
      </w:r>
      <w:proofErr w:type="spellStart"/>
      <w:r w:rsidRPr="00D3452E">
        <w:rPr>
          <w:lang w:bidi="fr-FR"/>
        </w:rPr>
        <w:t>touché·e·s</w:t>
      </w:r>
      <w:proofErr w:type="spellEnd"/>
      <w:r w:rsidRPr="00D3452E">
        <w:rPr>
          <w:lang w:bidi="fr-FR"/>
        </w:rPr>
        <w:t xml:space="preserve"> par la crise, comme les enfants exposés aux risques de maltraitance ou présentant des problèmes de santé mentale, doivent faire l</w:t>
      </w:r>
      <w:r w:rsidR="001E584B">
        <w:rPr>
          <w:lang w:bidi="fr-FR"/>
        </w:rPr>
        <w:t>’</w:t>
      </w:r>
      <w:r w:rsidRPr="00D3452E">
        <w:rPr>
          <w:lang w:bidi="fr-FR"/>
        </w:rPr>
        <w:t>objet d</w:t>
      </w:r>
      <w:r w:rsidR="001E584B">
        <w:rPr>
          <w:lang w:bidi="fr-FR"/>
        </w:rPr>
        <w:t>’</w:t>
      </w:r>
      <w:r w:rsidRPr="00D3452E">
        <w:rPr>
          <w:lang w:bidi="fr-FR"/>
        </w:rPr>
        <w:t>une attention et d</w:t>
      </w:r>
      <w:r w:rsidR="001E584B">
        <w:rPr>
          <w:lang w:bidi="fr-FR"/>
        </w:rPr>
        <w:t>’</w:t>
      </w:r>
      <w:r w:rsidRPr="00D3452E">
        <w:rPr>
          <w:lang w:bidi="fr-FR"/>
        </w:rPr>
        <w:t>un soutien supplémentaires. Il conviendrait, par exemple, de mettre en place des équipes d</w:t>
      </w:r>
      <w:r w:rsidR="001E584B">
        <w:rPr>
          <w:lang w:bidi="fr-FR"/>
        </w:rPr>
        <w:t>’</w:t>
      </w:r>
      <w:r w:rsidRPr="00D3452E">
        <w:rPr>
          <w:lang w:bidi="fr-FR"/>
        </w:rPr>
        <w:t>encadrement ou d</w:t>
      </w:r>
      <w:r w:rsidR="001E584B">
        <w:rPr>
          <w:lang w:bidi="fr-FR"/>
        </w:rPr>
        <w:t>’</w:t>
      </w:r>
      <w:r w:rsidRPr="00D3452E">
        <w:rPr>
          <w:lang w:bidi="fr-FR"/>
        </w:rPr>
        <w:t>accompagnement. Ces initiatives visant à répondre à la diminution des opportunités d</w:t>
      </w:r>
      <w:r w:rsidR="001E584B">
        <w:rPr>
          <w:lang w:bidi="fr-FR"/>
        </w:rPr>
        <w:t>’</w:t>
      </w:r>
      <w:r w:rsidRPr="00D3452E">
        <w:rPr>
          <w:lang w:bidi="fr-FR"/>
        </w:rPr>
        <w:t>apprentissage et à faire face aux répercussions sociales et émotionnelles de la pandémie sur la vie des élèves doivent se baser sur un diagnostic et une évaluation de l</w:t>
      </w:r>
      <w:r w:rsidR="001E584B">
        <w:rPr>
          <w:lang w:bidi="fr-FR"/>
        </w:rPr>
        <w:t>’</w:t>
      </w:r>
      <w:r w:rsidRPr="00D3452E">
        <w:rPr>
          <w:lang w:bidi="fr-FR"/>
        </w:rPr>
        <w:t>ensemble du système. Lorsque la capacité de l</w:t>
      </w:r>
      <w:r w:rsidR="001E584B">
        <w:rPr>
          <w:lang w:bidi="fr-FR"/>
        </w:rPr>
        <w:t>’</w:t>
      </w:r>
      <w:r w:rsidRPr="00D3452E">
        <w:rPr>
          <w:lang w:bidi="fr-FR"/>
        </w:rPr>
        <w:t xml:space="preserve">école est limitée en raison des exigences en termes de distanciation sociale, il importe que les jeunes enfants et les élèves </w:t>
      </w:r>
      <w:proofErr w:type="spellStart"/>
      <w:r w:rsidRPr="00D3452E">
        <w:rPr>
          <w:lang w:bidi="fr-FR"/>
        </w:rPr>
        <w:t>défavorisé·e·s</w:t>
      </w:r>
      <w:proofErr w:type="spellEnd"/>
      <w:r w:rsidRPr="00D3452E">
        <w:rPr>
          <w:lang w:bidi="fr-FR"/>
        </w:rPr>
        <w:t xml:space="preserve"> aient un accès prioritaire à l</w:t>
      </w:r>
      <w:r w:rsidR="001E584B">
        <w:rPr>
          <w:lang w:bidi="fr-FR"/>
        </w:rPr>
        <w:t>’</w:t>
      </w:r>
      <w:r w:rsidRPr="00D3452E">
        <w:rPr>
          <w:lang w:bidi="fr-FR"/>
        </w:rPr>
        <w:t>enseignement présentiel. Les services éducatifs, sanitaires ou d</w:t>
      </w:r>
      <w:r w:rsidR="001E584B">
        <w:rPr>
          <w:lang w:bidi="fr-FR"/>
        </w:rPr>
        <w:t>’</w:t>
      </w:r>
      <w:r w:rsidRPr="00D3452E">
        <w:rPr>
          <w:lang w:bidi="fr-FR"/>
        </w:rPr>
        <w:t>autres services sociaux pourraient nécessiter une plus grande coordination, supposant soit une réaffectation soit une augmentation des ressources. Les ressources doivent être adaptées aux besoins et refléter en toute transparence la situation sociale et économique des élèves et des écoles (ex. au travers d</w:t>
      </w:r>
      <w:r w:rsidR="001E584B">
        <w:rPr>
          <w:lang w:bidi="fr-FR"/>
        </w:rPr>
        <w:t>’</w:t>
      </w:r>
      <w:r w:rsidRPr="00D3452E">
        <w:rPr>
          <w:lang w:bidi="fr-FR"/>
        </w:rPr>
        <w:t>un formulaire de financement). Il s</w:t>
      </w:r>
      <w:r w:rsidR="001E584B">
        <w:rPr>
          <w:lang w:bidi="fr-FR"/>
        </w:rPr>
        <w:t>’</w:t>
      </w:r>
      <w:r w:rsidRPr="00D3452E">
        <w:rPr>
          <w:lang w:bidi="fr-FR"/>
        </w:rPr>
        <w:t>agit, entre autres, de s</w:t>
      </w:r>
      <w:r w:rsidR="001E584B">
        <w:rPr>
          <w:lang w:bidi="fr-FR"/>
        </w:rPr>
        <w:t>’</w:t>
      </w:r>
      <w:r w:rsidRPr="00D3452E">
        <w:rPr>
          <w:lang w:bidi="fr-FR"/>
        </w:rPr>
        <w:t>attaquer aux inégalités d</w:t>
      </w:r>
      <w:r w:rsidR="001E584B">
        <w:rPr>
          <w:lang w:bidi="fr-FR"/>
        </w:rPr>
        <w:t>’</w:t>
      </w:r>
      <w:r w:rsidRPr="00D3452E">
        <w:rPr>
          <w:lang w:bidi="fr-FR"/>
        </w:rPr>
        <w:t>accès aux ressources d</w:t>
      </w:r>
      <w:r w:rsidR="001E584B">
        <w:rPr>
          <w:lang w:bidi="fr-FR"/>
        </w:rPr>
        <w:t>’</w:t>
      </w:r>
      <w:r w:rsidRPr="00D3452E">
        <w:rPr>
          <w:lang w:bidi="fr-FR"/>
        </w:rPr>
        <w:t>apprentissage via Internet, les technologies numériques ou d</w:t>
      </w:r>
      <w:r w:rsidR="001E584B">
        <w:rPr>
          <w:lang w:bidi="fr-FR"/>
        </w:rPr>
        <w:t>’</w:t>
      </w:r>
      <w:r w:rsidRPr="00D3452E">
        <w:rPr>
          <w:lang w:bidi="fr-FR"/>
        </w:rPr>
        <w:t>autres moyens.</w:t>
      </w:r>
    </w:p>
    <w:p w14:paraId="565750D9" w14:textId="77777777" w:rsidR="001F1B7C" w:rsidRDefault="001F1B7C" w:rsidP="00C62DDC">
      <w:pPr>
        <w:pStyle w:val="Para"/>
      </w:pPr>
    </w:p>
    <w:p w14:paraId="332BDFB1" w14:textId="58D35703" w:rsidR="001F1B7C" w:rsidRPr="00D3452E" w:rsidRDefault="001F1B7C" w:rsidP="001F1B7C">
      <w:pPr>
        <w:pStyle w:val="Para"/>
      </w:pPr>
      <w:r w:rsidRPr="00D3452E">
        <w:rPr>
          <w:b/>
          <w:lang w:bidi="fr-FR"/>
        </w:rPr>
        <w:t>Principe 3.</w:t>
      </w:r>
      <w:r w:rsidRPr="00D3452E">
        <w:rPr>
          <w:lang w:bidi="fr-FR"/>
        </w:rPr>
        <w:t xml:space="preserve"> </w:t>
      </w:r>
      <w:r w:rsidRPr="00D3452E">
        <w:rPr>
          <w:b/>
          <w:lang w:bidi="fr-FR"/>
        </w:rPr>
        <w:t>Créer une infrastructure d</w:t>
      </w:r>
      <w:r w:rsidR="001E584B">
        <w:rPr>
          <w:b/>
          <w:lang w:bidi="fr-FR"/>
        </w:rPr>
        <w:t>’</w:t>
      </w:r>
      <w:r w:rsidRPr="00D3452E">
        <w:rPr>
          <w:b/>
          <w:lang w:bidi="fr-FR"/>
        </w:rPr>
        <w:t>apprentissage à distance conçue pour s</w:t>
      </w:r>
      <w:r w:rsidR="001E584B">
        <w:rPr>
          <w:b/>
          <w:lang w:bidi="fr-FR"/>
        </w:rPr>
        <w:t>’</w:t>
      </w:r>
      <w:r w:rsidRPr="00D3452E">
        <w:rPr>
          <w:b/>
          <w:lang w:bidi="fr-FR"/>
        </w:rPr>
        <w:t>adresser à l</w:t>
      </w:r>
      <w:r w:rsidR="001E584B">
        <w:rPr>
          <w:b/>
          <w:lang w:bidi="fr-FR"/>
        </w:rPr>
        <w:t>’</w:t>
      </w:r>
      <w:r w:rsidRPr="00D3452E">
        <w:rPr>
          <w:b/>
          <w:lang w:bidi="fr-FR"/>
        </w:rPr>
        <w:t>ensemble des élèves.</w:t>
      </w:r>
    </w:p>
    <w:p w14:paraId="35314B63" w14:textId="4ADFFAF7" w:rsidR="001F1B7C" w:rsidRPr="00D3452E" w:rsidRDefault="001F1B7C" w:rsidP="001F1B7C">
      <w:pPr>
        <w:pStyle w:val="Para"/>
      </w:pPr>
      <w:r w:rsidRPr="00D3452E">
        <w:rPr>
          <w:lang w:bidi="fr-FR"/>
        </w:rPr>
        <w:t>Dans certains pays, l</w:t>
      </w:r>
      <w:r w:rsidR="001E584B">
        <w:rPr>
          <w:lang w:bidi="fr-FR"/>
        </w:rPr>
        <w:t>’</w:t>
      </w:r>
      <w:r w:rsidRPr="00D3452E">
        <w:rPr>
          <w:lang w:bidi="fr-FR"/>
        </w:rPr>
        <w:t>accès des élèves aux diverses formules d</w:t>
      </w:r>
      <w:r w:rsidR="001E584B">
        <w:rPr>
          <w:lang w:bidi="fr-FR"/>
        </w:rPr>
        <w:t>’</w:t>
      </w:r>
      <w:r w:rsidRPr="00D3452E">
        <w:rPr>
          <w:lang w:bidi="fr-FR"/>
        </w:rPr>
        <w:t>apprentissage à distance qui ont vu le jour durant la pandémie demeure inégal et les premières études montrent que les écarts d</w:t>
      </w:r>
      <w:r w:rsidR="001E584B">
        <w:rPr>
          <w:lang w:bidi="fr-FR"/>
        </w:rPr>
        <w:t>’</w:t>
      </w:r>
      <w:r w:rsidRPr="00D3452E">
        <w:rPr>
          <w:lang w:bidi="fr-FR"/>
        </w:rPr>
        <w:t>apprentissage se creusent entre les élèves en fonction de leur situation sociale et géographique. Avant la pandémie, un grand nombre de pays ne disposaient pas d</w:t>
      </w:r>
      <w:r w:rsidR="001E584B">
        <w:rPr>
          <w:lang w:bidi="fr-FR"/>
        </w:rPr>
        <w:t>’</w:t>
      </w:r>
      <w:r w:rsidRPr="00D3452E">
        <w:rPr>
          <w:lang w:bidi="fr-FR"/>
        </w:rPr>
        <w:t>une infrastructure cohérente pour l</w:t>
      </w:r>
      <w:r w:rsidR="001E584B">
        <w:rPr>
          <w:lang w:bidi="fr-FR"/>
        </w:rPr>
        <w:t>’</w:t>
      </w:r>
      <w:r w:rsidRPr="00D3452E">
        <w:rPr>
          <w:lang w:bidi="fr-FR"/>
        </w:rPr>
        <w:t xml:space="preserve">enseignement à distance. Les pays </w:t>
      </w:r>
      <w:r w:rsidR="00D73F24" w:rsidRPr="00D3452E">
        <w:rPr>
          <w:lang w:bidi="fr-FR"/>
        </w:rPr>
        <w:t>d</w:t>
      </w:r>
      <w:r w:rsidR="00D73F24">
        <w:rPr>
          <w:lang w:bidi="fr-FR"/>
        </w:rPr>
        <w:t>oive</w:t>
      </w:r>
      <w:r w:rsidR="00D73F24" w:rsidRPr="00D3452E">
        <w:rPr>
          <w:lang w:bidi="fr-FR"/>
        </w:rPr>
        <w:t xml:space="preserve">nt </w:t>
      </w:r>
      <w:r w:rsidRPr="00D3452E">
        <w:rPr>
          <w:lang w:bidi="fr-FR"/>
        </w:rPr>
        <w:t>développer une infrastructure multimodale pour l</w:t>
      </w:r>
      <w:r w:rsidR="001E584B">
        <w:rPr>
          <w:lang w:bidi="fr-FR"/>
        </w:rPr>
        <w:t>’</w:t>
      </w:r>
      <w:r w:rsidRPr="00D3452E">
        <w:rPr>
          <w:lang w:bidi="fr-FR"/>
        </w:rPr>
        <w:t>enseignement à distance, conçue pour soutenir l</w:t>
      </w:r>
      <w:r w:rsidR="001E584B">
        <w:rPr>
          <w:lang w:bidi="fr-FR"/>
        </w:rPr>
        <w:t>’</w:t>
      </w:r>
      <w:r w:rsidRPr="00D3452E">
        <w:rPr>
          <w:lang w:bidi="fr-FR"/>
        </w:rPr>
        <w:t>apprentissage, qui permettrait d</w:t>
      </w:r>
      <w:r w:rsidR="001E584B">
        <w:rPr>
          <w:lang w:bidi="fr-FR"/>
        </w:rPr>
        <w:t>’</w:t>
      </w:r>
      <w:r w:rsidRPr="00D3452E">
        <w:rPr>
          <w:lang w:bidi="fr-FR"/>
        </w:rPr>
        <w:t>offrir un ensemble diversifié d</w:t>
      </w:r>
      <w:r w:rsidR="001E584B">
        <w:rPr>
          <w:lang w:bidi="fr-FR"/>
        </w:rPr>
        <w:t>’</w:t>
      </w:r>
      <w:r w:rsidRPr="00D3452E">
        <w:rPr>
          <w:lang w:bidi="fr-FR"/>
        </w:rPr>
        <w:t>opportunités d</w:t>
      </w:r>
      <w:r w:rsidR="001E584B">
        <w:rPr>
          <w:lang w:bidi="fr-FR"/>
        </w:rPr>
        <w:t>’</w:t>
      </w:r>
      <w:r w:rsidRPr="00D3452E">
        <w:rPr>
          <w:lang w:bidi="fr-FR"/>
        </w:rPr>
        <w:t>apprentissage aux élèves qui en ont besoin. Cette infrastructure d</w:t>
      </w:r>
      <w:r w:rsidR="001E584B">
        <w:rPr>
          <w:lang w:bidi="fr-FR"/>
        </w:rPr>
        <w:t>’</w:t>
      </w:r>
      <w:r w:rsidRPr="00D3452E">
        <w:rPr>
          <w:lang w:bidi="fr-FR"/>
        </w:rPr>
        <w:t>enseignement à distance d</w:t>
      </w:r>
      <w:r w:rsidR="00D73F24">
        <w:rPr>
          <w:lang w:bidi="fr-FR"/>
        </w:rPr>
        <w:t>o</w:t>
      </w:r>
      <w:r w:rsidRPr="00D3452E">
        <w:rPr>
          <w:lang w:bidi="fr-FR"/>
        </w:rPr>
        <w:t>it s</w:t>
      </w:r>
      <w:r w:rsidR="001E584B">
        <w:rPr>
          <w:lang w:bidi="fr-FR"/>
        </w:rPr>
        <w:t>’</w:t>
      </w:r>
      <w:r w:rsidRPr="00D3452E">
        <w:rPr>
          <w:lang w:bidi="fr-FR"/>
        </w:rPr>
        <w:t>accompagner de la mise en place de canaux permettant d</w:t>
      </w:r>
      <w:r w:rsidR="001E584B">
        <w:rPr>
          <w:lang w:bidi="fr-FR"/>
        </w:rPr>
        <w:t>’</w:t>
      </w:r>
      <w:r w:rsidRPr="00D3452E">
        <w:rPr>
          <w:lang w:bidi="fr-FR"/>
        </w:rPr>
        <w:t xml:space="preserve">assurer un suivi efficace, entre les </w:t>
      </w:r>
      <w:proofErr w:type="spellStart"/>
      <w:r w:rsidRPr="00D3452E">
        <w:rPr>
          <w:lang w:bidi="fr-FR"/>
        </w:rPr>
        <w:t>enseignant·e·s</w:t>
      </w:r>
      <w:proofErr w:type="spellEnd"/>
      <w:r w:rsidRPr="00D3452E">
        <w:rPr>
          <w:lang w:bidi="fr-FR"/>
        </w:rPr>
        <w:t xml:space="preserve"> et les responsables d</w:t>
      </w:r>
      <w:r w:rsidR="001E584B">
        <w:rPr>
          <w:lang w:bidi="fr-FR"/>
        </w:rPr>
        <w:t>’</w:t>
      </w:r>
      <w:r w:rsidRPr="00D3452E">
        <w:rPr>
          <w:lang w:bidi="fr-FR"/>
        </w:rPr>
        <w:t>établissement scolaire, entre les établissements scolaires et les familles. La création et l</w:t>
      </w:r>
      <w:r w:rsidR="001E584B">
        <w:rPr>
          <w:lang w:bidi="fr-FR"/>
        </w:rPr>
        <w:t>’</w:t>
      </w:r>
      <w:r w:rsidRPr="00D3452E">
        <w:rPr>
          <w:lang w:bidi="fr-FR"/>
        </w:rPr>
        <w:t>évaluation d</w:t>
      </w:r>
      <w:r w:rsidR="001E584B">
        <w:rPr>
          <w:lang w:bidi="fr-FR"/>
        </w:rPr>
        <w:t>’</w:t>
      </w:r>
      <w:r w:rsidRPr="00D3452E">
        <w:rPr>
          <w:lang w:bidi="fr-FR"/>
        </w:rPr>
        <w:t>une telle infrastructure supposent la participation et l</w:t>
      </w:r>
      <w:r w:rsidR="001E584B">
        <w:rPr>
          <w:lang w:bidi="fr-FR"/>
        </w:rPr>
        <w:t>’</w:t>
      </w:r>
      <w:r w:rsidRPr="00D3452E">
        <w:rPr>
          <w:lang w:bidi="fr-FR"/>
        </w:rPr>
        <w:t>engagement de la profession enseignante, des parties prenantes et des organisations pertinentes, afin de pouvoir s</w:t>
      </w:r>
      <w:r w:rsidR="001E584B">
        <w:rPr>
          <w:lang w:bidi="fr-FR"/>
        </w:rPr>
        <w:t>’</w:t>
      </w:r>
      <w:r w:rsidRPr="00D3452E">
        <w:rPr>
          <w:lang w:bidi="fr-FR"/>
        </w:rPr>
        <w:t>appuyer sur leurs expériences de l</w:t>
      </w:r>
      <w:r w:rsidR="001E584B">
        <w:rPr>
          <w:lang w:bidi="fr-FR"/>
        </w:rPr>
        <w:t>’</w:t>
      </w:r>
      <w:r w:rsidRPr="00D3452E">
        <w:rPr>
          <w:lang w:bidi="fr-FR"/>
        </w:rPr>
        <w:t>organisation de l</w:t>
      </w:r>
      <w:r w:rsidR="001E584B">
        <w:rPr>
          <w:lang w:bidi="fr-FR"/>
        </w:rPr>
        <w:t>’</w:t>
      </w:r>
      <w:r w:rsidRPr="00D3452E">
        <w:rPr>
          <w:lang w:bidi="fr-FR"/>
        </w:rPr>
        <w:t>enseignement à distance durant la pandémie. Il s</w:t>
      </w:r>
      <w:r w:rsidR="001E584B">
        <w:rPr>
          <w:lang w:bidi="fr-FR"/>
        </w:rPr>
        <w:t>’</w:t>
      </w:r>
      <w:r w:rsidRPr="00D3452E">
        <w:rPr>
          <w:lang w:bidi="fr-FR"/>
        </w:rPr>
        <w:t>agit de tenir compte des multiples réalités en ce qui concerne l</w:t>
      </w:r>
      <w:r w:rsidR="001E584B">
        <w:rPr>
          <w:lang w:bidi="fr-FR"/>
        </w:rPr>
        <w:t>’</w:t>
      </w:r>
      <w:r w:rsidRPr="00D3452E">
        <w:rPr>
          <w:lang w:bidi="fr-FR"/>
        </w:rPr>
        <w:t>accès aux différents médias présents sur leurs territoires et de faire en sorte que la dimension interactive de l</w:t>
      </w:r>
      <w:r w:rsidR="001E584B">
        <w:rPr>
          <w:lang w:bidi="fr-FR"/>
        </w:rPr>
        <w:t>’</w:t>
      </w:r>
      <w:r w:rsidRPr="00D3452E">
        <w:rPr>
          <w:lang w:bidi="fr-FR"/>
        </w:rPr>
        <w:t xml:space="preserve">apprentissage avec </w:t>
      </w:r>
      <w:proofErr w:type="gramStart"/>
      <w:r w:rsidRPr="00D3452E">
        <w:rPr>
          <w:lang w:bidi="fr-FR"/>
        </w:rPr>
        <w:t xml:space="preserve">les </w:t>
      </w:r>
      <w:proofErr w:type="spellStart"/>
      <w:r w:rsidRPr="00D3452E">
        <w:rPr>
          <w:lang w:bidi="fr-FR"/>
        </w:rPr>
        <w:t>enseignant</w:t>
      </w:r>
      <w:proofErr w:type="gramEnd"/>
      <w:r w:rsidRPr="00D3452E">
        <w:rPr>
          <w:lang w:bidi="fr-FR"/>
        </w:rPr>
        <w:t>·e·s</w:t>
      </w:r>
      <w:proofErr w:type="spellEnd"/>
      <w:r w:rsidRPr="00D3452E">
        <w:rPr>
          <w:lang w:bidi="fr-FR"/>
        </w:rPr>
        <w:t>, les pairs et la communauté soit maintenue. Une approche multimodale peut englober les outils d</w:t>
      </w:r>
      <w:r w:rsidR="001E584B">
        <w:rPr>
          <w:lang w:bidi="fr-FR"/>
        </w:rPr>
        <w:t>’</w:t>
      </w:r>
      <w:r w:rsidRPr="00D3452E">
        <w:rPr>
          <w:lang w:bidi="fr-FR"/>
        </w:rPr>
        <w:t>enseignement virtuel, les plateformes d</w:t>
      </w:r>
      <w:r w:rsidR="001E584B">
        <w:rPr>
          <w:lang w:bidi="fr-FR"/>
        </w:rPr>
        <w:t>’</w:t>
      </w:r>
      <w:r w:rsidRPr="00D3452E">
        <w:rPr>
          <w:lang w:bidi="fr-FR"/>
        </w:rPr>
        <w:t>apprentissage en ligne, les cours diffusés à la radio et à la télévision, les feuilles de travail, les réseaux sociaux, ainsi que l</w:t>
      </w:r>
      <w:r w:rsidR="001E584B">
        <w:rPr>
          <w:lang w:bidi="fr-FR"/>
        </w:rPr>
        <w:t>’</w:t>
      </w:r>
      <w:r w:rsidRPr="00D3452E">
        <w:rPr>
          <w:lang w:bidi="fr-FR"/>
        </w:rPr>
        <w:t>utilisation de textes et d</w:t>
      </w:r>
      <w:r w:rsidR="001E584B">
        <w:rPr>
          <w:lang w:bidi="fr-FR"/>
        </w:rPr>
        <w:t>’</w:t>
      </w:r>
      <w:r w:rsidRPr="00D3452E">
        <w:rPr>
          <w:lang w:bidi="fr-FR"/>
        </w:rPr>
        <w:t>appels pour soutenir l</w:t>
      </w:r>
      <w:r w:rsidR="001E584B">
        <w:rPr>
          <w:lang w:bidi="fr-FR"/>
        </w:rPr>
        <w:t>’</w:t>
      </w:r>
      <w:r w:rsidRPr="00D3452E">
        <w:rPr>
          <w:lang w:bidi="fr-FR"/>
        </w:rPr>
        <w:t>apprentissage des élèves. Investir dans ce type de structure de soutien peut contribuer à créer un environnement d</w:t>
      </w:r>
      <w:r w:rsidR="001E584B">
        <w:rPr>
          <w:lang w:bidi="fr-FR"/>
        </w:rPr>
        <w:t>’</w:t>
      </w:r>
      <w:r w:rsidRPr="00D3452E">
        <w:rPr>
          <w:lang w:bidi="fr-FR"/>
        </w:rPr>
        <w:t>apprentissage plus cohérent et plus inclusif à long terme.</w:t>
      </w:r>
    </w:p>
    <w:p w14:paraId="3F25F6BF" w14:textId="77777777" w:rsidR="001F1B7C" w:rsidRDefault="001F1B7C" w:rsidP="001F1B7C">
      <w:pPr>
        <w:pStyle w:val="Para"/>
      </w:pPr>
    </w:p>
    <w:p w14:paraId="2E77D8CD" w14:textId="77777777" w:rsidR="001F1B7C" w:rsidRPr="00D3452E" w:rsidRDefault="001F1B7C" w:rsidP="001F1B7C">
      <w:pPr>
        <w:pStyle w:val="Para"/>
      </w:pPr>
      <w:r w:rsidRPr="00D3452E">
        <w:rPr>
          <w:b/>
          <w:lang w:bidi="fr-FR"/>
        </w:rPr>
        <w:t>Principe 4.</w:t>
      </w:r>
      <w:r w:rsidRPr="00D3452E">
        <w:rPr>
          <w:lang w:bidi="fr-FR"/>
        </w:rPr>
        <w:t xml:space="preserve"> </w:t>
      </w:r>
      <w:r w:rsidRPr="00D3452E">
        <w:rPr>
          <w:b/>
          <w:lang w:bidi="fr-FR"/>
        </w:rPr>
        <w:t xml:space="preserve">Soutenir les </w:t>
      </w:r>
      <w:proofErr w:type="spellStart"/>
      <w:r w:rsidRPr="00D3452E">
        <w:rPr>
          <w:b/>
          <w:lang w:bidi="fr-FR"/>
        </w:rPr>
        <w:t>enseignant·e·s</w:t>
      </w:r>
      <w:proofErr w:type="spellEnd"/>
      <w:r w:rsidRPr="00D3452E">
        <w:rPr>
          <w:b/>
          <w:lang w:bidi="fr-FR"/>
        </w:rPr>
        <w:t xml:space="preserve"> dans leur vie professionnelle.</w:t>
      </w:r>
    </w:p>
    <w:p w14:paraId="46C4FB07" w14:textId="5FB84A27" w:rsidR="001F1B7C" w:rsidRPr="00D3452E" w:rsidRDefault="001F1B7C" w:rsidP="001F1B7C">
      <w:pPr>
        <w:pStyle w:val="Para"/>
      </w:pPr>
      <w:r w:rsidRPr="00D3452E">
        <w:rPr>
          <w:lang w:bidi="fr-FR"/>
        </w:rPr>
        <w:t>Dans la mesure où</w:t>
      </w:r>
      <w:r w:rsidR="006B2291" w:rsidRPr="00D3452E">
        <w:rPr>
          <w:lang w:bidi="fr-FR"/>
        </w:rPr>
        <w:t>, aujourd</w:t>
      </w:r>
      <w:r w:rsidR="006B2291">
        <w:rPr>
          <w:lang w:bidi="fr-FR"/>
        </w:rPr>
        <w:t>’</w:t>
      </w:r>
      <w:r w:rsidR="006B2291" w:rsidRPr="00D3452E">
        <w:rPr>
          <w:lang w:bidi="fr-FR"/>
        </w:rPr>
        <w:t>hui comme demain,</w:t>
      </w:r>
      <w:r w:rsidRPr="00D3452E">
        <w:rPr>
          <w:lang w:bidi="fr-FR"/>
        </w:rPr>
        <w:t xml:space="preserve"> les </w:t>
      </w:r>
      <w:proofErr w:type="spellStart"/>
      <w:r w:rsidRPr="00D3452E">
        <w:rPr>
          <w:lang w:bidi="fr-FR"/>
        </w:rPr>
        <w:t>enseignant·e·s</w:t>
      </w:r>
      <w:proofErr w:type="spellEnd"/>
      <w:r w:rsidRPr="00D3452E">
        <w:rPr>
          <w:lang w:bidi="fr-FR"/>
        </w:rPr>
        <w:t xml:space="preserve"> et les écoles resteront au centre de l</w:t>
      </w:r>
      <w:r w:rsidR="001E584B">
        <w:rPr>
          <w:lang w:bidi="fr-FR"/>
        </w:rPr>
        <w:t>’</w:t>
      </w:r>
      <w:r w:rsidRPr="00D3452E">
        <w:rPr>
          <w:lang w:bidi="fr-FR"/>
        </w:rPr>
        <w:t>apprentissage de l</w:t>
      </w:r>
      <w:r w:rsidR="001E584B">
        <w:rPr>
          <w:lang w:bidi="fr-FR"/>
        </w:rPr>
        <w:t>’</w:t>
      </w:r>
      <w:r w:rsidRPr="00D3452E">
        <w:rPr>
          <w:lang w:bidi="fr-FR"/>
        </w:rPr>
        <w:t>élève</w:t>
      </w:r>
      <w:r w:rsidR="006B2291">
        <w:rPr>
          <w:lang w:bidi="fr-FR"/>
        </w:rPr>
        <w:t xml:space="preserve">, </w:t>
      </w:r>
      <w:r w:rsidRPr="00D3452E">
        <w:rPr>
          <w:lang w:bidi="fr-FR"/>
        </w:rPr>
        <w:t xml:space="preserve">leurs conditions de travail et leurs besoins de formation professionnelle doivent être adaptés pour soutenir leur travail, pendant la pandémie et durant la relance après la pandémie. </w:t>
      </w:r>
    </w:p>
    <w:p w14:paraId="0DDF0B1F" w14:textId="75CE2162" w:rsidR="001F1B7C" w:rsidRPr="00D3452E" w:rsidRDefault="001F1B7C" w:rsidP="001F1B7C">
      <w:pPr>
        <w:pStyle w:val="Para"/>
      </w:pPr>
      <w:r w:rsidRPr="00D3452E">
        <w:rPr>
          <w:lang w:bidi="fr-FR"/>
        </w:rPr>
        <w:t xml:space="preserve">La satisfaction professionnelle des </w:t>
      </w:r>
      <w:proofErr w:type="spellStart"/>
      <w:r w:rsidRPr="00D3452E">
        <w:rPr>
          <w:lang w:bidi="fr-FR"/>
        </w:rPr>
        <w:t>enseignant·e·s</w:t>
      </w:r>
      <w:proofErr w:type="spellEnd"/>
      <w:r w:rsidRPr="00D3452E">
        <w:rPr>
          <w:lang w:bidi="fr-FR"/>
        </w:rPr>
        <w:t xml:space="preserve">, leur bien-être, leurs convictions et leur professionnalisme sont interconnectés et ont une influence sur les résultats des élèves. La satisfaction </w:t>
      </w:r>
      <w:r w:rsidRPr="00D3452E">
        <w:rPr>
          <w:lang w:bidi="fr-FR"/>
        </w:rPr>
        <w:lastRenderedPageBreak/>
        <w:t xml:space="preserve">professionnelle a un impact positif sur </w:t>
      </w:r>
      <w:proofErr w:type="gramStart"/>
      <w:r w:rsidRPr="00D3452E">
        <w:rPr>
          <w:lang w:bidi="fr-FR"/>
        </w:rPr>
        <w:t xml:space="preserve">les </w:t>
      </w:r>
      <w:proofErr w:type="spellStart"/>
      <w:r w:rsidRPr="00D3452E">
        <w:rPr>
          <w:lang w:bidi="fr-FR"/>
        </w:rPr>
        <w:t>enseignant</w:t>
      </w:r>
      <w:proofErr w:type="gramEnd"/>
      <w:r w:rsidRPr="00D3452E">
        <w:rPr>
          <w:lang w:bidi="fr-FR"/>
        </w:rPr>
        <w:t>·e·s</w:t>
      </w:r>
      <w:proofErr w:type="spellEnd"/>
      <w:r w:rsidRPr="00D3452E">
        <w:rPr>
          <w:lang w:bidi="fr-FR"/>
        </w:rPr>
        <w:t>, la culture de l</w:t>
      </w:r>
      <w:r w:rsidR="001E584B">
        <w:rPr>
          <w:lang w:bidi="fr-FR"/>
        </w:rPr>
        <w:t>’</w:t>
      </w:r>
      <w:r w:rsidRPr="00D3452E">
        <w:rPr>
          <w:lang w:bidi="fr-FR"/>
        </w:rPr>
        <w:t xml:space="preserve">école et, en définitive, sur les élèves. Le bien-être des </w:t>
      </w:r>
      <w:proofErr w:type="spellStart"/>
      <w:r w:rsidRPr="00D3452E">
        <w:rPr>
          <w:lang w:bidi="fr-FR"/>
        </w:rPr>
        <w:t>enseignant·e·s</w:t>
      </w:r>
      <w:proofErr w:type="spellEnd"/>
      <w:r w:rsidRPr="00D3452E">
        <w:rPr>
          <w:lang w:bidi="fr-FR"/>
        </w:rPr>
        <w:t xml:space="preserve"> et celui des élèves sont indissociables. La pandémie a mis sous pression les communautés scolaires, les </w:t>
      </w:r>
      <w:proofErr w:type="spellStart"/>
      <w:r w:rsidRPr="00D3452E">
        <w:rPr>
          <w:lang w:bidi="fr-FR"/>
        </w:rPr>
        <w:t>enseignant·e·s</w:t>
      </w:r>
      <w:proofErr w:type="spellEnd"/>
      <w:r w:rsidRPr="00D3452E">
        <w:rPr>
          <w:lang w:bidi="fr-FR"/>
        </w:rPr>
        <w:t>, le personnel des écoles, les élèves, auxquels ils enseignent et qu</w:t>
      </w:r>
      <w:r w:rsidR="001E584B">
        <w:rPr>
          <w:lang w:bidi="fr-FR"/>
        </w:rPr>
        <w:t>’</w:t>
      </w:r>
      <w:r w:rsidRPr="00D3452E">
        <w:rPr>
          <w:lang w:bidi="fr-FR"/>
        </w:rPr>
        <w:t>ils soutiennent, et leurs parents. Un grand nombre d</w:t>
      </w:r>
      <w:r w:rsidR="001E584B">
        <w:rPr>
          <w:lang w:bidi="fr-FR"/>
        </w:rPr>
        <w:t>’</w:t>
      </w:r>
      <w:r w:rsidRPr="00D3452E">
        <w:rPr>
          <w:lang w:bidi="fr-FR"/>
        </w:rPr>
        <w:t>enseignant·e·</w:t>
      </w:r>
      <w:proofErr w:type="spellStart"/>
      <w:r w:rsidRPr="00D3452E">
        <w:rPr>
          <w:lang w:bidi="fr-FR"/>
        </w:rPr>
        <w:t>s ont</w:t>
      </w:r>
      <w:proofErr w:type="spellEnd"/>
      <w:r w:rsidRPr="00D3452E">
        <w:rPr>
          <w:lang w:bidi="fr-FR"/>
        </w:rPr>
        <w:t xml:space="preserve"> constamment lancé de petites initiatives innovantes pour s</w:t>
      </w:r>
      <w:r w:rsidR="001E584B">
        <w:rPr>
          <w:lang w:bidi="fr-FR"/>
        </w:rPr>
        <w:t>’</w:t>
      </w:r>
      <w:r w:rsidRPr="00D3452E">
        <w:rPr>
          <w:lang w:bidi="fr-FR"/>
        </w:rPr>
        <w:t>adapter à une situation en rapide évolution : actualiser les mesures de protection sanitaires, adapter les stratégies d</w:t>
      </w:r>
      <w:r w:rsidR="001E584B">
        <w:rPr>
          <w:lang w:bidi="fr-FR"/>
        </w:rPr>
        <w:t>’</w:t>
      </w:r>
      <w:r w:rsidRPr="00D3452E">
        <w:rPr>
          <w:lang w:bidi="fr-FR"/>
        </w:rPr>
        <w:t>enseignement et d</w:t>
      </w:r>
      <w:r w:rsidR="001E584B">
        <w:rPr>
          <w:lang w:bidi="fr-FR"/>
        </w:rPr>
        <w:t>’</w:t>
      </w:r>
      <w:r w:rsidRPr="00D3452E">
        <w:rPr>
          <w:lang w:bidi="fr-FR"/>
        </w:rPr>
        <w:t>apprentissage, répondre aux besoins d</w:t>
      </w:r>
      <w:r w:rsidR="001E584B">
        <w:rPr>
          <w:lang w:bidi="fr-FR"/>
        </w:rPr>
        <w:t>’</w:t>
      </w:r>
      <w:r w:rsidRPr="00D3452E">
        <w:rPr>
          <w:lang w:bidi="fr-FR"/>
        </w:rPr>
        <w:t xml:space="preserve">apprentissage social et émotionnel de leurs élèves et veiller à répondre à leurs propres besoins de formation professionnelle. </w:t>
      </w:r>
    </w:p>
    <w:p w14:paraId="40BA53FE" w14:textId="3C01B14E" w:rsidR="001F1B7C" w:rsidRDefault="57BD9FA5" w:rsidP="001F1B7C">
      <w:pPr>
        <w:pStyle w:val="Para"/>
      </w:pPr>
      <w:r>
        <w:rPr>
          <w:lang w:bidi="fr-FR"/>
        </w:rPr>
        <w:t xml:space="preserve">En présence des </w:t>
      </w:r>
      <w:proofErr w:type="spellStart"/>
      <w:r>
        <w:rPr>
          <w:lang w:bidi="fr-FR"/>
        </w:rPr>
        <w:t>enseignant·e·s</w:t>
      </w:r>
      <w:proofErr w:type="spellEnd"/>
      <w:r>
        <w:rPr>
          <w:lang w:bidi="fr-FR"/>
        </w:rPr>
        <w:t xml:space="preserve"> et de leurs syndicats, les juridictions et les autorités éducatives d</w:t>
      </w:r>
      <w:r w:rsidR="00D73F24">
        <w:rPr>
          <w:lang w:bidi="fr-FR"/>
        </w:rPr>
        <w:t>oiv</w:t>
      </w:r>
      <w:r>
        <w:rPr>
          <w:lang w:bidi="fr-FR"/>
        </w:rPr>
        <w:t>ent réévaluer les conditions de travail des effectifs en vue d</w:t>
      </w:r>
      <w:r w:rsidR="001E584B">
        <w:rPr>
          <w:lang w:bidi="fr-FR"/>
        </w:rPr>
        <w:t>’</w:t>
      </w:r>
      <w:r>
        <w:rPr>
          <w:lang w:bidi="fr-FR"/>
        </w:rPr>
        <w:t>identifier les domaines devant être améliorés pour leur permettre de se montrer le plus efficaces possible durant la pandémie et la reprise après la pandémie. Ce type d</w:t>
      </w:r>
      <w:r w:rsidR="001E584B">
        <w:rPr>
          <w:lang w:bidi="fr-FR"/>
        </w:rPr>
        <w:t>’</w:t>
      </w:r>
      <w:r>
        <w:rPr>
          <w:lang w:bidi="fr-FR"/>
        </w:rPr>
        <w:t xml:space="preserve">initiative pourrait se révéler particulièrement bénéfique dans les écoles défavorisées, où les </w:t>
      </w:r>
      <w:proofErr w:type="spellStart"/>
      <w:r>
        <w:rPr>
          <w:lang w:bidi="fr-FR"/>
        </w:rPr>
        <w:t>enseignant·e·s</w:t>
      </w:r>
      <w:proofErr w:type="spellEnd"/>
      <w:r>
        <w:rPr>
          <w:lang w:bidi="fr-FR"/>
        </w:rPr>
        <w:t xml:space="preserve"> sont le plus susceptibles de devoir exercer leur profession dans des conditions défavorables. Cette réévaluation demeurera essentielle durant la reprise après la pandémie. </w:t>
      </w:r>
    </w:p>
    <w:p w14:paraId="76DAED7C" w14:textId="77777777" w:rsidR="001F1B7C" w:rsidRPr="00D3452E" w:rsidRDefault="001F1B7C" w:rsidP="001F1B7C">
      <w:pPr>
        <w:pStyle w:val="Para"/>
      </w:pPr>
    </w:p>
    <w:p w14:paraId="3959FA86" w14:textId="77777777" w:rsidR="001F1B7C" w:rsidRDefault="001F1B7C">
      <w:pPr>
        <w:widowControl/>
        <w:spacing w:after="200" w:line="276" w:lineRule="auto"/>
        <w:jc w:val="left"/>
        <w:rPr>
          <w:b/>
          <w:bCs/>
          <w:color w:val="000000" w:themeColor="text1"/>
          <w:sz w:val="20"/>
        </w:rPr>
      </w:pPr>
      <w:r>
        <w:rPr>
          <w:b/>
          <w:lang w:bidi="fr-FR"/>
        </w:rPr>
        <w:br w:type="page"/>
      </w:r>
    </w:p>
    <w:p w14:paraId="473505CC" w14:textId="184F681E" w:rsidR="001F1B7C" w:rsidRPr="00D3452E" w:rsidRDefault="001F1B7C" w:rsidP="001F1B7C">
      <w:pPr>
        <w:pStyle w:val="Para"/>
      </w:pPr>
      <w:r w:rsidRPr="00D3452E">
        <w:rPr>
          <w:b/>
          <w:lang w:bidi="fr-FR"/>
        </w:rPr>
        <w:lastRenderedPageBreak/>
        <w:t xml:space="preserve">Principe 5. Offrir aux </w:t>
      </w:r>
      <w:proofErr w:type="spellStart"/>
      <w:r w:rsidRPr="00D3452E">
        <w:rPr>
          <w:b/>
          <w:lang w:bidi="fr-FR"/>
        </w:rPr>
        <w:t>enseignant·e·s</w:t>
      </w:r>
      <w:proofErr w:type="spellEnd"/>
      <w:r w:rsidRPr="00D3452E">
        <w:rPr>
          <w:b/>
          <w:lang w:bidi="fr-FR"/>
        </w:rPr>
        <w:t xml:space="preserve"> et aux parents les moyens de soutenir les élèves.</w:t>
      </w:r>
    </w:p>
    <w:p w14:paraId="582C4ABC" w14:textId="1221DA81" w:rsidR="001F1B7C" w:rsidRPr="00D3452E" w:rsidRDefault="001F1B7C" w:rsidP="001F1B7C">
      <w:pPr>
        <w:pStyle w:val="Para"/>
      </w:pPr>
      <w:r w:rsidRPr="00D3452E">
        <w:rPr>
          <w:lang w:bidi="fr-FR"/>
        </w:rPr>
        <w:t xml:space="preserve">Les </w:t>
      </w:r>
      <w:proofErr w:type="spellStart"/>
      <w:r w:rsidRPr="00D3452E">
        <w:rPr>
          <w:lang w:bidi="fr-FR"/>
        </w:rPr>
        <w:t>enseignant·e·s</w:t>
      </w:r>
      <w:proofErr w:type="spellEnd"/>
      <w:r w:rsidRPr="00D3452E">
        <w:rPr>
          <w:lang w:bidi="fr-FR"/>
        </w:rPr>
        <w:t xml:space="preserve"> doivent pouvoir soutenir l</w:t>
      </w:r>
      <w:r w:rsidR="001E584B">
        <w:rPr>
          <w:lang w:bidi="fr-FR"/>
        </w:rPr>
        <w:t>’</w:t>
      </w:r>
      <w:r w:rsidRPr="00D3452E">
        <w:rPr>
          <w:lang w:bidi="fr-FR"/>
        </w:rPr>
        <w:t xml:space="preserve">apprentissage à distance en communiquant régulièrement avec leurs élèves (et les familles si nécessaire) et doivent, à leur tour, être </w:t>
      </w:r>
      <w:proofErr w:type="spellStart"/>
      <w:r w:rsidRPr="00D3452E">
        <w:rPr>
          <w:lang w:bidi="fr-FR"/>
        </w:rPr>
        <w:t>soutenu·e·s</w:t>
      </w:r>
      <w:proofErr w:type="spellEnd"/>
      <w:r w:rsidRPr="00D3452E">
        <w:rPr>
          <w:lang w:bidi="fr-FR"/>
        </w:rPr>
        <w:t xml:space="preserve"> pour le faire efficacement. Le professionnalisme des </w:t>
      </w:r>
      <w:proofErr w:type="spellStart"/>
      <w:r w:rsidRPr="00D3452E">
        <w:rPr>
          <w:lang w:bidi="fr-FR"/>
        </w:rPr>
        <w:t>enseignant·e·s</w:t>
      </w:r>
      <w:proofErr w:type="spellEnd"/>
      <w:r w:rsidRPr="00D3452E">
        <w:rPr>
          <w:lang w:bidi="fr-FR"/>
        </w:rPr>
        <w:t xml:space="preserve"> étant l</w:t>
      </w:r>
      <w:r w:rsidR="001E584B">
        <w:rPr>
          <w:lang w:bidi="fr-FR"/>
        </w:rPr>
        <w:t>’</w:t>
      </w:r>
      <w:r w:rsidRPr="00D3452E">
        <w:rPr>
          <w:lang w:bidi="fr-FR"/>
        </w:rPr>
        <w:t>élément de base pour soutenir l</w:t>
      </w:r>
      <w:r w:rsidR="001E584B">
        <w:rPr>
          <w:lang w:bidi="fr-FR"/>
        </w:rPr>
        <w:t>’</w:t>
      </w:r>
      <w:r w:rsidRPr="00D3452E">
        <w:rPr>
          <w:lang w:bidi="fr-FR"/>
        </w:rPr>
        <w:t xml:space="preserve">apprentissage et le bien-être des élèves, les systèmes éducatifs doivent également soutenir les </w:t>
      </w:r>
      <w:proofErr w:type="spellStart"/>
      <w:r w:rsidRPr="00D3452E">
        <w:rPr>
          <w:lang w:bidi="fr-FR"/>
        </w:rPr>
        <w:t>enseignant·e·s</w:t>
      </w:r>
      <w:proofErr w:type="spellEnd"/>
      <w:r w:rsidRPr="00D3452E">
        <w:rPr>
          <w:lang w:bidi="fr-FR"/>
        </w:rPr>
        <w:t xml:space="preserve"> pour pouvoir le faire. Les systèmes éducatifs et les écoles doivent prévoir des moyens et des plages horaires pour la communication avec les élèves et leurs familles, ainsi que des formations, des possibilités pour </w:t>
      </w:r>
      <w:proofErr w:type="gramStart"/>
      <w:r w:rsidRPr="00D3452E">
        <w:rPr>
          <w:lang w:bidi="fr-FR"/>
        </w:rPr>
        <w:t xml:space="preserve">les </w:t>
      </w:r>
      <w:proofErr w:type="spellStart"/>
      <w:r w:rsidRPr="00D3452E">
        <w:rPr>
          <w:lang w:bidi="fr-FR"/>
        </w:rPr>
        <w:t>enseignant</w:t>
      </w:r>
      <w:proofErr w:type="gramEnd"/>
      <w:r w:rsidRPr="00D3452E">
        <w:rPr>
          <w:lang w:bidi="fr-FR"/>
        </w:rPr>
        <w:t>·e·s</w:t>
      </w:r>
      <w:proofErr w:type="spellEnd"/>
      <w:r w:rsidRPr="00D3452E">
        <w:rPr>
          <w:lang w:bidi="fr-FR"/>
        </w:rPr>
        <w:t xml:space="preserve"> de travailler en réseau avec leurs collègues et des ressources pédagogiques pour soutenir l</w:t>
      </w:r>
      <w:r w:rsidR="001E584B">
        <w:rPr>
          <w:lang w:bidi="fr-FR"/>
        </w:rPr>
        <w:t>’</w:t>
      </w:r>
      <w:r w:rsidRPr="00D3452E">
        <w:rPr>
          <w:lang w:bidi="fr-FR"/>
        </w:rPr>
        <w:t>apprentissage à distance et leur permettre de consacrer plus de temps aux interactions bilatérales avec les élèves. Ils doivent être habilités à adapter les programmes d</w:t>
      </w:r>
      <w:r w:rsidR="001E584B">
        <w:rPr>
          <w:lang w:bidi="fr-FR"/>
        </w:rPr>
        <w:t>’</w:t>
      </w:r>
      <w:r w:rsidRPr="00D3452E">
        <w:rPr>
          <w:lang w:bidi="fr-FR"/>
        </w:rPr>
        <w:t xml:space="preserve">études aux besoins et à la situation des élèves. Outre le soutien à apporter aux </w:t>
      </w:r>
      <w:proofErr w:type="spellStart"/>
      <w:r w:rsidRPr="00D3452E">
        <w:rPr>
          <w:lang w:bidi="fr-FR"/>
        </w:rPr>
        <w:t>enseignant·e·s</w:t>
      </w:r>
      <w:proofErr w:type="spellEnd"/>
      <w:r w:rsidRPr="00D3452E">
        <w:rPr>
          <w:lang w:bidi="fr-FR"/>
        </w:rPr>
        <w:t>, les systèmes éducatifs doivent prévoir des ressources pour aider les parents à soutenir l</w:t>
      </w:r>
      <w:r w:rsidR="001E584B">
        <w:rPr>
          <w:lang w:bidi="fr-FR"/>
        </w:rPr>
        <w:t>’</w:t>
      </w:r>
      <w:r w:rsidRPr="00D3452E">
        <w:rPr>
          <w:lang w:bidi="fr-FR"/>
        </w:rPr>
        <w:t xml:space="preserve">apprentissage et le bien-être de leurs enfants. Des directives efficaces pour la sécurité en ligne, préparées par les juridictions en collaboration avec </w:t>
      </w:r>
      <w:proofErr w:type="gramStart"/>
      <w:r w:rsidRPr="00D3452E">
        <w:rPr>
          <w:lang w:bidi="fr-FR"/>
        </w:rPr>
        <w:t xml:space="preserve">les </w:t>
      </w:r>
      <w:proofErr w:type="spellStart"/>
      <w:r w:rsidRPr="00D3452E">
        <w:rPr>
          <w:lang w:bidi="fr-FR"/>
        </w:rPr>
        <w:t>enseignant</w:t>
      </w:r>
      <w:proofErr w:type="gramEnd"/>
      <w:r w:rsidRPr="00D3452E">
        <w:rPr>
          <w:lang w:bidi="fr-FR"/>
        </w:rPr>
        <w:t>·e·s</w:t>
      </w:r>
      <w:proofErr w:type="spellEnd"/>
      <w:r w:rsidRPr="00D3452E">
        <w:rPr>
          <w:lang w:bidi="fr-FR"/>
        </w:rPr>
        <w:t xml:space="preserve"> et les parents, doivent être mises en place. Les </w:t>
      </w:r>
      <w:proofErr w:type="spellStart"/>
      <w:r w:rsidRPr="00D3452E">
        <w:rPr>
          <w:lang w:bidi="fr-FR"/>
        </w:rPr>
        <w:t>enseignant·e·s</w:t>
      </w:r>
      <w:proofErr w:type="spellEnd"/>
      <w:r w:rsidRPr="00D3452E">
        <w:rPr>
          <w:lang w:bidi="fr-FR"/>
        </w:rPr>
        <w:t xml:space="preserve"> doivent pouvoir s</w:t>
      </w:r>
      <w:r w:rsidR="001E584B">
        <w:rPr>
          <w:lang w:bidi="fr-FR"/>
        </w:rPr>
        <w:t>’</w:t>
      </w:r>
      <w:r w:rsidRPr="00D3452E">
        <w:rPr>
          <w:lang w:bidi="fr-FR"/>
        </w:rPr>
        <w:t xml:space="preserve">aider de protocoles pour la sécurité en ligne. </w:t>
      </w:r>
    </w:p>
    <w:p w14:paraId="363BF027" w14:textId="475C7253" w:rsidR="001F1B7C" w:rsidRPr="00D3452E" w:rsidRDefault="15965FBC" w:rsidP="001F1B7C">
      <w:pPr>
        <w:pStyle w:val="Para"/>
      </w:pPr>
      <w:r>
        <w:rPr>
          <w:lang w:bidi="fr-FR"/>
        </w:rPr>
        <w:t>Au-delà de la continuité du développement académique, une approche globale de l</w:t>
      </w:r>
      <w:r w:rsidR="001E584B">
        <w:rPr>
          <w:lang w:bidi="fr-FR"/>
        </w:rPr>
        <w:t>’</w:t>
      </w:r>
      <w:r>
        <w:rPr>
          <w:lang w:bidi="fr-FR"/>
        </w:rPr>
        <w:t>éducation centrée sur l</w:t>
      </w:r>
      <w:r w:rsidR="001E584B">
        <w:rPr>
          <w:lang w:bidi="fr-FR"/>
        </w:rPr>
        <w:t>’</w:t>
      </w:r>
      <w:r>
        <w:rPr>
          <w:lang w:bidi="fr-FR"/>
        </w:rPr>
        <w:t>apprentissage socio-émotionnel et l</w:t>
      </w:r>
      <w:r w:rsidR="001E584B">
        <w:rPr>
          <w:lang w:bidi="fr-FR"/>
        </w:rPr>
        <w:t>’</w:t>
      </w:r>
      <w:r>
        <w:rPr>
          <w:lang w:bidi="fr-FR"/>
        </w:rPr>
        <w:t xml:space="preserve">autonomie des élèves doit être une composante essentielle de leur éducation, tandis que des services coordonnés en liaison avec les écoles doivent être mis en place pour répondre à leurs besoins en termes de développement physique et de santé mentale. Ceci suppose que la formation et le développement professionnels des </w:t>
      </w:r>
      <w:proofErr w:type="spellStart"/>
      <w:r>
        <w:rPr>
          <w:lang w:bidi="fr-FR"/>
        </w:rPr>
        <w:t>enseignant·e·s</w:t>
      </w:r>
      <w:proofErr w:type="spellEnd"/>
      <w:r>
        <w:rPr>
          <w:lang w:bidi="fr-FR"/>
        </w:rPr>
        <w:t xml:space="preserve"> soient centrés sur l</w:t>
      </w:r>
      <w:r w:rsidR="001E584B">
        <w:rPr>
          <w:lang w:bidi="fr-FR"/>
        </w:rPr>
        <w:t>’</w:t>
      </w:r>
      <w:r>
        <w:rPr>
          <w:lang w:bidi="fr-FR"/>
        </w:rPr>
        <w:t>apprentissage socio-émotionnel et la santé mentale. Lorsque l</w:t>
      </w:r>
      <w:r w:rsidR="001E584B">
        <w:rPr>
          <w:lang w:bidi="fr-FR"/>
        </w:rPr>
        <w:t>’</w:t>
      </w:r>
      <w:r>
        <w:rPr>
          <w:lang w:bidi="fr-FR"/>
        </w:rPr>
        <w:t>apprentissage à distance s</w:t>
      </w:r>
      <w:r w:rsidR="001E584B">
        <w:rPr>
          <w:lang w:bidi="fr-FR"/>
        </w:rPr>
        <w:t>’</w:t>
      </w:r>
      <w:r>
        <w:rPr>
          <w:lang w:bidi="fr-FR"/>
        </w:rPr>
        <w:t>avère nécessaire, il est possible de mettre en œuvre des stratégies d</w:t>
      </w:r>
      <w:r w:rsidR="001E584B">
        <w:rPr>
          <w:lang w:bidi="fr-FR"/>
        </w:rPr>
        <w:t>’</w:t>
      </w:r>
      <w:r>
        <w:rPr>
          <w:lang w:bidi="fr-FR"/>
        </w:rPr>
        <w:t>apprentissage collaboratif et d</w:t>
      </w:r>
      <w:r w:rsidR="001E584B">
        <w:rPr>
          <w:lang w:bidi="fr-FR"/>
        </w:rPr>
        <w:t>’</w:t>
      </w:r>
      <w:r>
        <w:rPr>
          <w:lang w:bidi="fr-FR"/>
        </w:rPr>
        <w:t>offrir aux élèves une série de projets centrés sur les compétences sociales et émotionnelles en lien avec la crise.</w:t>
      </w:r>
    </w:p>
    <w:p w14:paraId="3405D866" w14:textId="2466B20E" w:rsidR="00AF6AC9" w:rsidRDefault="00AF6AC9" w:rsidP="00E50814">
      <w:pPr>
        <w:pStyle w:val="Para"/>
        <w:ind w:left="720"/>
        <w:rPr>
          <w:i/>
        </w:rPr>
      </w:pP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76393A" w:rsidRPr="00E2226B" w14:paraId="25FBE314" w14:textId="77777777" w:rsidTr="00190848">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36187B98" w14:textId="4B54D8DF" w:rsidR="0076393A" w:rsidRDefault="0076393A" w:rsidP="00190848">
            <w:pPr>
              <w:pStyle w:val="Caption"/>
            </w:pPr>
            <w:r w:rsidRPr="00B44A50">
              <w:rPr>
                <w:lang w:bidi="fr-FR"/>
              </w:rPr>
              <w:lastRenderedPageBreak/>
              <w:t xml:space="preserve">Encadré </w:t>
            </w:r>
            <w:r>
              <w:rPr>
                <w:noProof/>
                <w:lang w:bidi="fr-FR"/>
              </w:rPr>
              <w:fldChar w:fldCharType="begin"/>
            </w:r>
            <w:r>
              <w:rPr>
                <w:noProof/>
                <w:lang w:bidi="fr-FR"/>
              </w:rPr>
              <w:instrText xml:space="preserve"> SEQ Box \* ARABIC \s 1 </w:instrText>
            </w:r>
            <w:r>
              <w:rPr>
                <w:noProof/>
                <w:lang w:bidi="fr-FR"/>
              </w:rPr>
              <w:fldChar w:fldCharType="separate"/>
            </w:r>
            <w:r>
              <w:rPr>
                <w:noProof/>
                <w:lang w:bidi="fr-FR"/>
              </w:rPr>
              <w:t>1</w:t>
            </w:r>
            <w:r>
              <w:rPr>
                <w:noProof/>
                <w:lang w:bidi="fr-FR"/>
              </w:rPr>
              <w:fldChar w:fldCharType="end"/>
            </w:r>
            <w:r w:rsidRPr="00B44A50">
              <w:rPr>
                <w:lang w:bidi="fr-FR"/>
              </w:rPr>
              <w:t>. OCDE : exemples d</w:t>
            </w:r>
            <w:r w:rsidR="001E584B">
              <w:rPr>
                <w:lang w:bidi="fr-FR"/>
              </w:rPr>
              <w:t>’</w:t>
            </w:r>
            <w:r w:rsidRPr="00B44A50">
              <w:rPr>
                <w:lang w:bidi="fr-FR"/>
              </w:rPr>
              <w:t>initiatives nationales pour assurer la continuité et la relance de l</w:t>
            </w:r>
            <w:r w:rsidR="001E584B">
              <w:rPr>
                <w:lang w:bidi="fr-FR"/>
              </w:rPr>
              <w:t>’</w:t>
            </w:r>
            <w:r w:rsidRPr="00B44A50">
              <w:rPr>
                <w:lang w:bidi="fr-FR"/>
              </w:rPr>
              <w:t>éducation</w:t>
            </w:r>
          </w:p>
          <w:p w14:paraId="3BDEDF8F" w14:textId="3D9BAC03" w:rsidR="0076393A" w:rsidRDefault="0076393A" w:rsidP="0076393A">
            <w:pPr>
              <w:pStyle w:val="Para"/>
              <w:rPr>
                <w:sz w:val="18"/>
                <w:szCs w:val="18"/>
              </w:rPr>
            </w:pPr>
            <w:r>
              <w:rPr>
                <w:sz w:val="18"/>
                <w:szCs w:val="18"/>
                <w:lang w:bidi="fr-FR"/>
              </w:rPr>
              <w:t>Durant la pandémie, la Direction de l</w:t>
            </w:r>
            <w:r w:rsidR="001E584B">
              <w:rPr>
                <w:sz w:val="18"/>
                <w:szCs w:val="18"/>
                <w:lang w:bidi="fr-FR"/>
              </w:rPr>
              <w:t>’</w:t>
            </w:r>
            <w:r>
              <w:rPr>
                <w:sz w:val="18"/>
                <w:szCs w:val="18"/>
                <w:lang w:bidi="fr-FR"/>
              </w:rPr>
              <w:t>éducation et des compétences de l</w:t>
            </w:r>
            <w:r w:rsidR="001E584B">
              <w:rPr>
                <w:sz w:val="18"/>
                <w:szCs w:val="18"/>
                <w:lang w:bidi="fr-FR"/>
              </w:rPr>
              <w:t>’</w:t>
            </w:r>
            <w:r>
              <w:rPr>
                <w:sz w:val="18"/>
                <w:szCs w:val="18"/>
                <w:lang w:bidi="fr-FR"/>
              </w:rPr>
              <w:t xml:space="preserve">OCDE a soutenu les pays membres et partenaires en mettant à leur disposition une série de ressources et de publications pouvant être consultées sur sa </w:t>
            </w:r>
            <w:hyperlink r:id="rId15" w:history="1">
              <w:r w:rsidRPr="0076393A">
                <w:rPr>
                  <w:rStyle w:val="Hyperlink"/>
                  <w:sz w:val="18"/>
                  <w:szCs w:val="18"/>
                  <w:lang w:bidi="fr-FR"/>
                </w:rPr>
                <w:t>plateforme d</w:t>
              </w:r>
              <w:r w:rsidR="001E584B">
                <w:rPr>
                  <w:rStyle w:val="Hyperlink"/>
                  <w:sz w:val="18"/>
                  <w:szCs w:val="18"/>
                  <w:lang w:bidi="fr-FR"/>
                </w:rPr>
                <w:t>’</w:t>
              </w:r>
              <w:r w:rsidRPr="0076393A">
                <w:rPr>
                  <w:rStyle w:val="Hyperlink"/>
                  <w:sz w:val="18"/>
                  <w:szCs w:val="18"/>
                  <w:lang w:bidi="fr-FR"/>
                </w:rPr>
                <w:t>information dédiée à la pandémie</w:t>
              </w:r>
            </w:hyperlink>
            <w:r>
              <w:rPr>
                <w:sz w:val="18"/>
                <w:szCs w:val="18"/>
                <w:lang w:bidi="fr-FR"/>
              </w:rPr>
              <w:t xml:space="preserve">. Ce département a également fourni aux pays un </w:t>
            </w:r>
            <w:hyperlink r:id="rId16" w:history="1">
              <w:r w:rsidRPr="0076393A">
                <w:rPr>
                  <w:rStyle w:val="Hyperlink"/>
                  <w:sz w:val="18"/>
                  <w:szCs w:val="18"/>
                  <w:lang w:bidi="fr-FR"/>
                </w:rPr>
                <w:t>espace international</w:t>
              </w:r>
            </w:hyperlink>
            <w:r>
              <w:rPr>
                <w:sz w:val="18"/>
                <w:szCs w:val="18"/>
                <w:lang w:bidi="fr-FR"/>
              </w:rPr>
              <w:t xml:space="preserve"> pour partager leurs réponses et initiatives en regard de la pandémie.</w:t>
            </w:r>
          </w:p>
          <w:p w14:paraId="62689D15" w14:textId="02C0CCE1" w:rsidR="0076393A" w:rsidRDefault="0076393A" w:rsidP="0076393A">
            <w:pPr>
              <w:pStyle w:val="Para"/>
              <w:rPr>
                <w:sz w:val="18"/>
                <w:szCs w:val="18"/>
              </w:rPr>
            </w:pPr>
            <w:r w:rsidRPr="0076393A">
              <w:rPr>
                <w:sz w:val="18"/>
                <w:szCs w:val="18"/>
                <w:lang w:bidi="fr-FR"/>
              </w:rPr>
              <w:t>La plupart des pays se sont efforcés d</w:t>
            </w:r>
            <w:r w:rsidR="001E584B">
              <w:rPr>
                <w:sz w:val="18"/>
                <w:szCs w:val="18"/>
                <w:lang w:bidi="fr-FR"/>
              </w:rPr>
              <w:t>’</w:t>
            </w:r>
            <w:r w:rsidRPr="0076393A">
              <w:rPr>
                <w:sz w:val="18"/>
                <w:szCs w:val="18"/>
                <w:lang w:bidi="fr-FR"/>
              </w:rPr>
              <w:t>assurer la continuité de l</w:t>
            </w:r>
            <w:r w:rsidR="001E584B">
              <w:rPr>
                <w:sz w:val="18"/>
                <w:szCs w:val="18"/>
                <w:lang w:bidi="fr-FR"/>
              </w:rPr>
              <w:t>’</w:t>
            </w:r>
            <w:r w:rsidRPr="0076393A">
              <w:rPr>
                <w:sz w:val="18"/>
                <w:szCs w:val="18"/>
                <w:lang w:bidi="fr-FR"/>
              </w:rPr>
              <w:t xml:space="preserve">apprentissage durant la crise de la Covid-19, en proposant généralement des ressources pour la formation en ligne et en demandant aux </w:t>
            </w:r>
            <w:proofErr w:type="spellStart"/>
            <w:r w:rsidRPr="0076393A">
              <w:rPr>
                <w:sz w:val="18"/>
                <w:szCs w:val="18"/>
                <w:lang w:bidi="fr-FR"/>
              </w:rPr>
              <w:t>enseignant·e·s</w:t>
            </w:r>
            <w:proofErr w:type="spellEnd"/>
            <w:r w:rsidRPr="0076393A">
              <w:rPr>
                <w:sz w:val="18"/>
                <w:szCs w:val="18"/>
                <w:lang w:bidi="fr-FR"/>
              </w:rPr>
              <w:t xml:space="preserve"> de rester responsables de leurs classes. Trois approches pour maintenir ouvertes les écoles ou assurer leur réouverture peuvent être mises en avant : </w:t>
            </w:r>
          </w:p>
          <w:p w14:paraId="012FDE09" w14:textId="7191A9BF" w:rsidR="0076393A" w:rsidRPr="0076393A" w:rsidRDefault="0076393A" w:rsidP="0076393A">
            <w:pPr>
              <w:pStyle w:val="Para"/>
              <w:rPr>
                <w:sz w:val="18"/>
                <w:szCs w:val="18"/>
              </w:rPr>
            </w:pPr>
            <w:r>
              <w:rPr>
                <w:sz w:val="18"/>
                <w:szCs w:val="18"/>
                <w:lang w:bidi="fr-FR"/>
              </w:rPr>
              <w:t>Au Japon, les écoles sont restées ouvertes durant la majeure partie de la pandémie. Le pays a mis en place des mesures de sécurité pour le personnel et les élèves : éviter les espaces fermés, les contacts rapprochés et les lieux surpeuplés. Le Japon, qui n</w:t>
            </w:r>
            <w:r w:rsidR="001E584B">
              <w:rPr>
                <w:sz w:val="18"/>
                <w:szCs w:val="18"/>
                <w:lang w:bidi="fr-FR"/>
              </w:rPr>
              <w:t>’</w:t>
            </w:r>
            <w:r>
              <w:rPr>
                <w:sz w:val="18"/>
                <w:szCs w:val="18"/>
                <w:lang w:bidi="fr-FR"/>
              </w:rPr>
              <w:t>a enregistré que 11 cas de transmission dans les écoles (à la date du mois de septembre 2020), résume sa politique comme suit : « Assurer autant que possible l</w:t>
            </w:r>
            <w:r w:rsidR="001E584B">
              <w:rPr>
                <w:sz w:val="18"/>
                <w:szCs w:val="18"/>
                <w:lang w:bidi="fr-FR"/>
              </w:rPr>
              <w:t>’</w:t>
            </w:r>
            <w:r>
              <w:rPr>
                <w:sz w:val="18"/>
                <w:szCs w:val="18"/>
                <w:lang w:bidi="fr-FR"/>
              </w:rPr>
              <w:t>apprentissage des enfants quelle que soit la situation épidémiologique ». Les écoles japonaises ont pris des mesures telles que la fréquentation en alternance, l</w:t>
            </w:r>
            <w:r w:rsidR="001E584B">
              <w:rPr>
                <w:sz w:val="18"/>
                <w:szCs w:val="18"/>
                <w:lang w:bidi="fr-FR"/>
              </w:rPr>
              <w:t>’</w:t>
            </w:r>
            <w:r>
              <w:rPr>
                <w:sz w:val="18"/>
                <w:szCs w:val="18"/>
                <w:lang w:bidi="fr-FR"/>
              </w:rPr>
              <w:t>adaptation des horaires et la réorganisation des congés scolaires. Les périodes durant lesquelles l</w:t>
            </w:r>
            <w:r w:rsidR="001E584B">
              <w:rPr>
                <w:sz w:val="18"/>
                <w:szCs w:val="18"/>
                <w:lang w:bidi="fr-FR"/>
              </w:rPr>
              <w:t>’</w:t>
            </w:r>
            <w:r>
              <w:rPr>
                <w:sz w:val="18"/>
                <w:szCs w:val="18"/>
                <w:lang w:bidi="fr-FR"/>
              </w:rPr>
              <w:t>enseignement à distance est devenu prioritaire n</w:t>
            </w:r>
            <w:r w:rsidR="001E584B">
              <w:rPr>
                <w:sz w:val="18"/>
                <w:szCs w:val="18"/>
                <w:lang w:bidi="fr-FR"/>
              </w:rPr>
              <w:t>’</w:t>
            </w:r>
            <w:r>
              <w:rPr>
                <w:sz w:val="18"/>
                <w:szCs w:val="18"/>
                <w:lang w:bidi="fr-FR"/>
              </w:rPr>
              <w:t xml:space="preserve">ont duré que peu de temps et les écoles ont continué à assurer à la fois un enseignement académique et socio-émotionnel. En termes de reprise, le Japon dispense un enseignement complémentaire aux enfants identifiés comme accusant un retard, en prévoyant principalement du personnel supplémentaire dans les écoles : des effectifs supplémentaires pour les élèves de terminale devant passer des examens et des </w:t>
            </w:r>
            <w:proofErr w:type="spellStart"/>
            <w:r>
              <w:rPr>
                <w:sz w:val="18"/>
                <w:szCs w:val="18"/>
                <w:lang w:bidi="fr-FR"/>
              </w:rPr>
              <w:t>instructeur·rice·s</w:t>
            </w:r>
            <w:proofErr w:type="spellEnd"/>
            <w:r>
              <w:rPr>
                <w:sz w:val="18"/>
                <w:szCs w:val="18"/>
                <w:lang w:bidi="fr-FR"/>
              </w:rPr>
              <w:t xml:space="preserve"> pour assister les </w:t>
            </w:r>
            <w:proofErr w:type="spellStart"/>
            <w:r>
              <w:rPr>
                <w:sz w:val="18"/>
                <w:szCs w:val="18"/>
                <w:lang w:bidi="fr-FR"/>
              </w:rPr>
              <w:t>enseignant·e·</w:t>
            </w:r>
            <w:r w:rsidR="006B2291">
              <w:rPr>
                <w:sz w:val="18"/>
                <w:szCs w:val="18"/>
                <w:lang w:bidi="fr-FR"/>
              </w:rPr>
              <w:t>s</w:t>
            </w:r>
            <w:proofErr w:type="spellEnd"/>
            <w:r w:rsidR="006B2291">
              <w:rPr>
                <w:sz w:val="18"/>
                <w:szCs w:val="18"/>
                <w:lang w:bidi="fr-FR"/>
              </w:rPr>
              <w:t xml:space="preserve"> </w:t>
            </w:r>
            <w:r>
              <w:rPr>
                <w:sz w:val="18"/>
                <w:szCs w:val="18"/>
                <w:lang w:bidi="fr-FR"/>
              </w:rPr>
              <w:t>en charge des autres élèves. À cette fin, le ministère de l</w:t>
            </w:r>
            <w:r w:rsidR="001E584B">
              <w:rPr>
                <w:sz w:val="18"/>
                <w:szCs w:val="18"/>
                <w:lang w:bidi="fr-FR"/>
              </w:rPr>
              <w:t>’</w:t>
            </w:r>
            <w:r>
              <w:rPr>
                <w:sz w:val="18"/>
                <w:szCs w:val="18"/>
                <w:lang w:bidi="fr-FR"/>
              </w:rPr>
              <w:t xml:space="preserve">Éducation, de la Culture, des Sports, des Sciences et de la Technologie (MEXT) a engagé des </w:t>
            </w:r>
            <w:proofErr w:type="spellStart"/>
            <w:r>
              <w:rPr>
                <w:sz w:val="18"/>
                <w:szCs w:val="18"/>
                <w:lang w:bidi="fr-FR"/>
              </w:rPr>
              <w:t>enseignant·e·s</w:t>
            </w:r>
            <w:proofErr w:type="spellEnd"/>
            <w:r>
              <w:rPr>
                <w:sz w:val="18"/>
                <w:szCs w:val="18"/>
                <w:lang w:bidi="fr-FR"/>
              </w:rPr>
              <w:t xml:space="preserve"> à la retraite, des </w:t>
            </w:r>
            <w:proofErr w:type="spellStart"/>
            <w:r>
              <w:rPr>
                <w:sz w:val="18"/>
                <w:szCs w:val="18"/>
                <w:lang w:bidi="fr-FR"/>
              </w:rPr>
              <w:t>étudiant·e·s</w:t>
            </w:r>
            <w:proofErr w:type="spellEnd"/>
            <w:r>
              <w:rPr>
                <w:sz w:val="18"/>
                <w:szCs w:val="18"/>
                <w:lang w:bidi="fr-FR"/>
              </w:rPr>
              <w:t xml:space="preserve"> universitaires, du personnel travaillant dans des ONG actives dans le domaine de l</w:t>
            </w:r>
            <w:r w:rsidR="001E584B">
              <w:rPr>
                <w:sz w:val="18"/>
                <w:szCs w:val="18"/>
                <w:lang w:bidi="fr-FR"/>
              </w:rPr>
              <w:t>’</w:t>
            </w:r>
            <w:r>
              <w:rPr>
                <w:sz w:val="18"/>
                <w:szCs w:val="18"/>
                <w:lang w:bidi="fr-FR"/>
              </w:rPr>
              <w:t xml:space="preserve">éducation, ainsi que des membres de la communauté. Du personnel de soutien, des </w:t>
            </w:r>
            <w:proofErr w:type="spellStart"/>
            <w:r>
              <w:rPr>
                <w:sz w:val="18"/>
                <w:szCs w:val="18"/>
                <w:lang w:bidi="fr-FR"/>
              </w:rPr>
              <w:t>conseiller·ère·s</w:t>
            </w:r>
            <w:proofErr w:type="spellEnd"/>
            <w:r>
              <w:rPr>
                <w:sz w:val="18"/>
                <w:szCs w:val="18"/>
                <w:lang w:bidi="fr-FR"/>
              </w:rPr>
              <w:t xml:space="preserve"> scolaires et des </w:t>
            </w:r>
            <w:proofErr w:type="spellStart"/>
            <w:r>
              <w:rPr>
                <w:sz w:val="18"/>
                <w:szCs w:val="18"/>
                <w:lang w:bidi="fr-FR"/>
              </w:rPr>
              <w:t>travailleur·euse·s</w:t>
            </w:r>
            <w:proofErr w:type="spellEnd"/>
            <w:r>
              <w:rPr>
                <w:sz w:val="18"/>
                <w:szCs w:val="18"/>
                <w:lang w:bidi="fr-FR"/>
              </w:rPr>
              <w:t xml:space="preserve"> </w:t>
            </w:r>
            <w:proofErr w:type="spellStart"/>
            <w:r>
              <w:rPr>
                <w:sz w:val="18"/>
                <w:szCs w:val="18"/>
                <w:lang w:bidi="fr-FR"/>
              </w:rPr>
              <w:t>sociaux·ales</w:t>
            </w:r>
            <w:proofErr w:type="spellEnd"/>
            <w:r>
              <w:rPr>
                <w:sz w:val="18"/>
                <w:szCs w:val="18"/>
                <w:lang w:bidi="fr-FR"/>
              </w:rPr>
              <w:t xml:space="preserve"> ont également été </w:t>
            </w:r>
            <w:proofErr w:type="spellStart"/>
            <w:r>
              <w:rPr>
                <w:sz w:val="18"/>
                <w:szCs w:val="18"/>
                <w:lang w:bidi="fr-FR"/>
              </w:rPr>
              <w:t>embauché·e·s</w:t>
            </w:r>
            <w:proofErr w:type="spellEnd"/>
            <w:r>
              <w:rPr>
                <w:sz w:val="18"/>
                <w:szCs w:val="18"/>
                <w:lang w:bidi="fr-FR"/>
              </w:rPr>
              <w:t xml:space="preserve"> pour apporter un soutien supplémentaire à la santé mentale des élèves. Plus d</w:t>
            </w:r>
            <w:r w:rsidR="001E584B">
              <w:rPr>
                <w:sz w:val="18"/>
                <w:szCs w:val="18"/>
                <w:lang w:bidi="fr-FR"/>
              </w:rPr>
              <w:t>’</w:t>
            </w:r>
            <w:r>
              <w:rPr>
                <w:sz w:val="18"/>
                <w:szCs w:val="18"/>
                <w:lang w:bidi="fr-FR"/>
              </w:rPr>
              <w:t xml:space="preserve">informations </w:t>
            </w:r>
            <w:hyperlink r:id="rId17" w:history="1">
              <w:r w:rsidRPr="0076393A">
                <w:rPr>
                  <w:rStyle w:val="Hyperlink"/>
                  <w:sz w:val="18"/>
                  <w:szCs w:val="18"/>
                  <w:lang w:bidi="fr-FR"/>
                </w:rPr>
                <w:t>ici</w:t>
              </w:r>
            </w:hyperlink>
            <w:r>
              <w:rPr>
                <w:sz w:val="18"/>
                <w:szCs w:val="18"/>
                <w:lang w:bidi="fr-FR"/>
              </w:rPr>
              <w:t xml:space="preserve"> et </w:t>
            </w:r>
            <w:hyperlink r:id="rId18" w:history="1">
              <w:r w:rsidRPr="0076393A">
                <w:rPr>
                  <w:rStyle w:val="Hyperlink"/>
                  <w:sz w:val="18"/>
                  <w:szCs w:val="18"/>
                  <w:lang w:bidi="fr-FR"/>
                </w:rPr>
                <w:t>ici</w:t>
              </w:r>
            </w:hyperlink>
            <w:r>
              <w:rPr>
                <w:sz w:val="18"/>
                <w:szCs w:val="18"/>
                <w:lang w:bidi="fr-FR"/>
              </w:rPr>
              <w:t>.</w:t>
            </w:r>
          </w:p>
          <w:p w14:paraId="0817CA9A" w14:textId="0260F7B3" w:rsidR="00304851" w:rsidRPr="0076393A" w:rsidRDefault="00304851" w:rsidP="00304851">
            <w:pPr>
              <w:pStyle w:val="Para"/>
              <w:rPr>
                <w:sz w:val="18"/>
                <w:szCs w:val="18"/>
              </w:rPr>
            </w:pPr>
            <w:r>
              <w:rPr>
                <w:sz w:val="18"/>
                <w:szCs w:val="18"/>
                <w:lang w:bidi="fr-FR"/>
              </w:rPr>
              <w:t>En France, après la fermeture des écoles pour la quasi-totalité des élèves durant la « première vague » de la pandémie, la continuité de l</w:t>
            </w:r>
            <w:r w:rsidR="001E584B">
              <w:rPr>
                <w:sz w:val="18"/>
                <w:szCs w:val="18"/>
                <w:lang w:bidi="fr-FR"/>
              </w:rPr>
              <w:t>’</w:t>
            </w:r>
            <w:r>
              <w:rPr>
                <w:sz w:val="18"/>
                <w:szCs w:val="18"/>
                <w:lang w:bidi="fr-FR"/>
              </w:rPr>
              <w:t>apprentissage a pu être assurée grâce à l</w:t>
            </w:r>
            <w:r w:rsidR="001E584B">
              <w:rPr>
                <w:sz w:val="18"/>
                <w:szCs w:val="18"/>
                <w:lang w:bidi="fr-FR"/>
              </w:rPr>
              <w:t>’</w:t>
            </w:r>
            <w:r>
              <w:rPr>
                <w:sz w:val="18"/>
                <w:szCs w:val="18"/>
                <w:lang w:bidi="fr-FR"/>
              </w:rPr>
              <w:t>ouverture et à l</w:t>
            </w:r>
            <w:r w:rsidR="001E584B">
              <w:rPr>
                <w:sz w:val="18"/>
                <w:szCs w:val="18"/>
                <w:lang w:bidi="fr-FR"/>
              </w:rPr>
              <w:t>’</w:t>
            </w:r>
            <w:r>
              <w:rPr>
                <w:sz w:val="18"/>
                <w:szCs w:val="18"/>
                <w:lang w:bidi="fr-FR"/>
              </w:rPr>
              <w:t xml:space="preserve">expansion des </w:t>
            </w:r>
            <w:hyperlink r:id="rId19" w:history="1">
              <w:r w:rsidRPr="00F4274B">
                <w:rPr>
                  <w:rStyle w:val="Hyperlink"/>
                  <w:sz w:val="18"/>
                  <w:szCs w:val="18"/>
                  <w:lang w:bidi="fr-FR"/>
                </w:rPr>
                <w:t>infrastructures d</w:t>
              </w:r>
              <w:r w:rsidR="001E584B">
                <w:rPr>
                  <w:rStyle w:val="Hyperlink"/>
                  <w:sz w:val="18"/>
                  <w:szCs w:val="18"/>
                  <w:lang w:bidi="fr-FR"/>
                </w:rPr>
                <w:t>’</w:t>
              </w:r>
              <w:r w:rsidRPr="00F4274B">
                <w:rPr>
                  <w:rStyle w:val="Hyperlink"/>
                  <w:sz w:val="18"/>
                  <w:szCs w:val="18"/>
                  <w:lang w:bidi="fr-FR"/>
                </w:rPr>
                <w:t>apprentissage numérique préexistantes</w:t>
              </w:r>
            </w:hyperlink>
            <w:r>
              <w:rPr>
                <w:sz w:val="18"/>
                <w:szCs w:val="18"/>
                <w:lang w:bidi="fr-FR"/>
              </w:rPr>
              <w:t xml:space="preserve"> et au soutien de </w:t>
            </w:r>
            <w:hyperlink r:id="rId20" w:history="1">
              <w:proofErr w:type="spellStart"/>
              <w:r w:rsidRPr="00F4274B">
                <w:rPr>
                  <w:rStyle w:val="Hyperlink"/>
                  <w:sz w:val="18"/>
                  <w:szCs w:val="18"/>
                  <w:lang w:bidi="fr-FR"/>
                </w:rPr>
                <w:t>conseiller·ère·s</w:t>
              </w:r>
              <w:proofErr w:type="spellEnd"/>
              <w:r w:rsidRPr="00F4274B">
                <w:rPr>
                  <w:rStyle w:val="Hyperlink"/>
                  <w:sz w:val="18"/>
                  <w:szCs w:val="18"/>
                  <w:lang w:bidi="fr-FR"/>
                </w:rPr>
                <w:t xml:space="preserve"> en éducation numérique</w:t>
              </w:r>
            </w:hyperlink>
            <w:r>
              <w:rPr>
                <w:sz w:val="18"/>
                <w:szCs w:val="18"/>
                <w:lang w:bidi="fr-FR"/>
              </w:rPr>
              <w:t xml:space="preserve"> travaillant avec les </w:t>
            </w:r>
            <w:proofErr w:type="spellStart"/>
            <w:r>
              <w:rPr>
                <w:sz w:val="18"/>
                <w:szCs w:val="18"/>
                <w:lang w:bidi="fr-FR"/>
              </w:rPr>
              <w:t>enseignant·e·s</w:t>
            </w:r>
            <w:proofErr w:type="spellEnd"/>
            <w:r>
              <w:rPr>
                <w:sz w:val="18"/>
                <w:szCs w:val="18"/>
                <w:lang w:bidi="fr-FR"/>
              </w:rPr>
              <w:t>, les responsables d</w:t>
            </w:r>
            <w:r w:rsidR="001E584B">
              <w:rPr>
                <w:sz w:val="18"/>
                <w:szCs w:val="18"/>
                <w:lang w:bidi="fr-FR"/>
              </w:rPr>
              <w:t>’</w:t>
            </w:r>
            <w:r>
              <w:rPr>
                <w:sz w:val="18"/>
                <w:szCs w:val="18"/>
                <w:lang w:bidi="fr-FR"/>
              </w:rPr>
              <w:t xml:space="preserve">établissement scolaire et diverses autres parties prenantes pour le déploiement rapide de solutions pour assurer la poursuite de la scolarisation. À la date du mois de mars 2021, les écoles étaient ouvertes depuis septembre 2020, indépendamment de la situation de la pandémie, avec des protocoles sanitaires stricts : séparation physique entre élèves de classes différentes, port du masque obligatoire pour les </w:t>
            </w:r>
            <w:proofErr w:type="spellStart"/>
            <w:r>
              <w:rPr>
                <w:sz w:val="18"/>
                <w:szCs w:val="18"/>
                <w:lang w:bidi="fr-FR"/>
              </w:rPr>
              <w:t>enseignant·e·s</w:t>
            </w:r>
            <w:proofErr w:type="spellEnd"/>
            <w:r>
              <w:rPr>
                <w:sz w:val="18"/>
                <w:szCs w:val="18"/>
                <w:lang w:bidi="fr-FR"/>
              </w:rPr>
              <w:t xml:space="preserve"> et les élèves de plus de dix ans, désinfection des mains (contrôles possibles), désinfection et ventilation régulières des classes et des espaces communs, protocoles spécifiques pour les cantines scolaires, les récréations, les internats, éducation physique et musicale, dépistage prioritaire des </w:t>
            </w:r>
            <w:proofErr w:type="spellStart"/>
            <w:r>
              <w:rPr>
                <w:sz w:val="18"/>
                <w:szCs w:val="18"/>
                <w:lang w:bidi="fr-FR"/>
              </w:rPr>
              <w:t>enseignant·e·s</w:t>
            </w:r>
            <w:proofErr w:type="spellEnd"/>
            <w:r>
              <w:rPr>
                <w:sz w:val="18"/>
                <w:szCs w:val="18"/>
                <w:lang w:bidi="fr-FR"/>
              </w:rPr>
              <w:t xml:space="preserve"> et des élèves. Ce </w:t>
            </w:r>
            <w:hyperlink r:id="rId21" w:history="1">
              <w:r w:rsidRPr="00F4274B">
                <w:rPr>
                  <w:rStyle w:val="Hyperlink"/>
                  <w:sz w:val="18"/>
                  <w:szCs w:val="18"/>
                  <w:lang w:bidi="fr-FR"/>
                </w:rPr>
                <w:t>protocole</w:t>
              </w:r>
            </w:hyperlink>
            <w:r>
              <w:rPr>
                <w:sz w:val="18"/>
                <w:szCs w:val="18"/>
                <w:lang w:bidi="fr-FR"/>
              </w:rPr>
              <w:t xml:space="preserve">, implanté avec des adaptations en fonction des écoles, prévoit une consultation des </w:t>
            </w:r>
            <w:proofErr w:type="spellStart"/>
            <w:r>
              <w:rPr>
                <w:sz w:val="18"/>
                <w:szCs w:val="18"/>
                <w:lang w:bidi="fr-FR"/>
              </w:rPr>
              <w:t>enseignant·e·s</w:t>
            </w:r>
            <w:proofErr w:type="spellEnd"/>
            <w:r>
              <w:rPr>
                <w:sz w:val="18"/>
                <w:szCs w:val="18"/>
                <w:lang w:bidi="fr-FR"/>
              </w:rPr>
              <w:t xml:space="preserve"> en première ligne. Les </w:t>
            </w:r>
            <w:proofErr w:type="spellStart"/>
            <w:r>
              <w:rPr>
                <w:sz w:val="18"/>
                <w:szCs w:val="18"/>
                <w:lang w:bidi="fr-FR"/>
              </w:rPr>
              <w:t>enseignant·e·s</w:t>
            </w:r>
            <w:proofErr w:type="spellEnd"/>
            <w:r>
              <w:rPr>
                <w:sz w:val="18"/>
                <w:szCs w:val="18"/>
                <w:lang w:bidi="fr-FR"/>
              </w:rPr>
              <w:t xml:space="preserve"> </w:t>
            </w:r>
            <w:proofErr w:type="spellStart"/>
            <w:r>
              <w:rPr>
                <w:sz w:val="18"/>
                <w:szCs w:val="18"/>
                <w:lang w:bidi="fr-FR"/>
              </w:rPr>
              <w:t>reconnu·e·s</w:t>
            </w:r>
            <w:proofErr w:type="spellEnd"/>
            <w:r>
              <w:rPr>
                <w:sz w:val="18"/>
                <w:szCs w:val="18"/>
                <w:lang w:bidi="fr-FR"/>
              </w:rPr>
              <w:t xml:space="preserve"> comme vulnérables ont télétravaillé durant la période de la pandémie.</w:t>
            </w:r>
          </w:p>
          <w:p w14:paraId="2465AEDA" w14:textId="08B95F40" w:rsidR="0076393A" w:rsidRPr="0076393A" w:rsidRDefault="0076393A" w:rsidP="0076393A">
            <w:pPr>
              <w:pStyle w:val="Para"/>
              <w:rPr>
                <w:sz w:val="18"/>
                <w:szCs w:val="18"/>
              </w:rPr>
            </w:pPr>
            <w:r w:rsidRPr="0076393A">
              <w:rPr>
                <w:sz w:val="18"/>
                <w:szCs w:val="18"/>
                <w:lang w:bidi="fr-FR"/>
              </w:rPr>
              <w:t>Le Chili, outre les ressources pour l</w:t>
            </w:r>
            <w:r w:rsidR="001E584B">
              <w:rPr>
                <w:sz w:val="18"/>
                <w:szCs w:val="18"/>
                <w:lang w:bidi="fr-FR"/>
              </w:rPr>
              <w:t>’</w:t>
            </w:r>
            <w:r w:rsidRPr="0076393A">
              <w:rPr>
                <w:sz w:val="18"/>
                <w:szCs w:val="18"/>
                <w:lang w:bidi="fr-FR"/>
              </w:rPr>
              <w:t>apprentissage numérique et les programmes de formation diffusés à la télévision ou à la radio, a décidé de mettre en place un plan de réouverture des écoles par étapes, centré sur la santé – volontaire (pour les écoles et les parents) et progressif (avec priorité aux 11</w:t>
            </w:r>
            <w:r w:rsidRPr="0076393A">
              <w:rPr>
                <w:sz w:val="18"/>
                <w:szCs w:val="18"/>
                <w:vertAlign w:val="superscript"/>
                <w:lang w:bidi="fr-FR"/>
              </w:rPr>
              <w:t xml:space="preserve">e </w:t>
            </w:r>
            <w:r w:rsidRPr="0076393A">
              <w:rPr>
                <w:sz w:val="18"/>
                <w:szCs w:val="18"/>
                <w:lang w:bidi="fr-FR"/>
              </w:rPr>
              <w:t>et 12</w:t>
            </w:r>
            <w:r w:rsidRPr="0076393A">
              <w:rPr>
                <w:sz w:val="18"/>
                <w:szCs w:val="18"/>
                <w:vertAlign w:val="superscript"/>
                <w:lang w:bidi="fr-FR"/>
              </w:rPr>
              <w:t xml:space="preserve">e </w:t>
            </w:r>
            <w:r w:rsidRPr="0076393A">
              <w:rPr>
                <w:sz w:val="18"/>
                <w:szCs w:val="18"/>
                <w:lang w:bidi="fr-FR"/>
              </w:rPr>
              <w:t>années). En accord avec le ministère de la Santé, le ministère de l</w:t>
            </w:r>
            <w:r w:rsidR="001E584B">
              <w:rPr>
                <w:sz w:val="18"/>
                <w:szCs w:val="18"/>
                <w:lang w:bidi="fr-FR"/>
              </w:rPr>
              <w:t>’</w:t>
            </w:r>
            <w:r w:rsidRPr="0076393A">
              <w:rPr>
                <w:sz w:val="18"/>
                <w:szCs w:val="18"/>
                <w:lang w:bidi="fr-FR"/>
              </w:rPr>
              <w:t>Éducation a fourni un protocole sanitaire (désinfection, port du masque obligatoire, distanciation physique, horaires en alternance, etc.) à mettre en place par les écoles en fonction de leur contexte. Il s</w:t>
            </w:r>
            <w:r w:rsidR="001E584B">
              <w:rPr>
                <w:sz w:val="18"/>
                <w:szCs w:val="18"/>
                <w:lang w:bidi="fr-FR"/>
              </w:rPr>
              <w:t>’</w:t>
            </w:r>
            <w:r w:rsidRPr="0076393A">
              <w:rPr>
                <w:sz w:val="18"/>
                <w:szCs w:val="18"/>
                <w:lang w:bidi="fr-FR"/>
              </w:rPr>
              <w:t xml:space="preserve">agissait de fournir à la communauté scolaire (élèves, parents et </w:t>
            </w:r>
            <w:proofErr w:type="spellStart"/>
            <w:r w:rsidRPr="0076393A">
              <w:rPr>
                <w:sz w:val="18"/>
                <w:szCs w:val="18"/>
                <w:lang w:bidi="fr-FR"/>
              </w:rPr>
              <w:t>enseignant·e·s</w:t>
            </w:r>
            <w:proofErr w:type="spellEnd"/>
            <w:r w:rsidRPr="0076393A">
              <w:rPr>
                <w:sz w:val="18"/>
                <w:szCs w:val="18"/>
                <w:lang w:bidi="fr-FR"/>
              </w:rPr>
              <w:t>) des informations concernant les mesures, ainsi qu</w:t>
            </w:r>
            <w:r w:rsidR="001E584B">
              <w:rPr>
                <w:sz w:val="18"/>
                <w:szCs w:val="18"/>
                <w:lang w:bidi="fr-FR"/>
              </w:rPr>
              <w:t>’</w:t>
            </w:r>
            <w:r w:rsidRPr="0076393A">
              <w:rPr>
                <w:sz w:val="18"/>
                <w:szCs w:val="18"/>
                <w:lang w:bidi="fr-FR"/>
              </w:rPr>
              <w:t>un programme d</w:t>
            </w:r>
            <w:r w:rsidR="001E584B">
              <w:rPr>
                <w:sz w:val="18"/>
                <w:szCs w:val="18"/>
                <w:lang w:bidi="fr-FR"/>
              </w:rPr>
              <w:t>’</w:t>
            </w:r>
            <w:r w:rsidRPr="0076393A">
              <w:rPr>
                <w:sz w:val="18"/>
                <w:szCs w:val="18"/>
                <w:lang w:bidi="fr-FR"/>
              </w:rPr>
              <w:t xml:space="preserve">orientation pour </w:t>
            </w:r>
            <w:proofErr w:type="gramStart"/>
            <w:r w:rsidRPr="0076393A">
              <w:rPr>
                <w:sz w:val="18"/>
                <w:szCs w:val="18"/>
                <w:lang w:bidi="fr-FR"/>
              </w:rPr>
              <w:t xml:space="preserve">les </w:t>
            </w:r>
            <w:proofErr w:type="spellStart"/>
            <w:r w:rsidRPr="0076393A">
              <w:rPr>
                <w:sz w:val="18"/>
                <w:szCs w:val="18"/>
                <w:lang w:bidi="fr-FR"/>
              </w:rPr>
              <w:t>enseignant</w:t>
            </w:r>
            <w:proofErr w:type="gramEnd"/>
            <w:r w:rsidRPr="0076393A">
              <w:rPr>
                <w:sz w:val="18"/>
                <w:szCs w:val="18"/>
                <w:lang w:bidi="fr-FR"/>
              </w:rPr>
              <w:t>·e·s</w:t>
            </w:r>
            <w:proofErr w:type="spellEnd"/>
            <w:r w:rsidRPr="0076393A">
              <w:rPr>
                <w:sz w:val="18"/>
                <w:szCs w:val="18"/>
                <w:lang w:bidi="fr-FR"/>
              </w:rPr>
              <w:t xml:space="preserve"> et le personnel. </w:t>
            </w:r>
            <w:r w:rsidRPr="0076393A">
              <w:rPr>
                <w:sz w:val="18"/>
                <w:szCs w:val="18"/>
                <w:lang w:bidi="fr-FR"/>
              </w:rPr>
              <w:lastRenderedPageBreak/>
              <w:t>Compte tenu de la situation, le ministère a fourni aux écoles un nouveau plan pédagogique privilégiant certains aspects du programme d</w:t>
            </w:r>
            <w:r w:rsidR="001E584B">
              <w:rPr>
                <w:sz w:val="18"/>
                <w:szCs w:val="18"/>
                <w:lang w:bidi="fr-FR"/>
              </w:rPr>
              <w:t>’</w:t>
            </w:r>
            <w:r w:rsidRPr="0076393A">
              <w:rPr>
                <w:sz w:val="18"/>
                <w:szCs w:val="18"/>
                <w:lang w:bidi="fr-FR"/>
              </w:rPr>
              <w:t>études et certains outils permettant d</w:t>
            </w:r>
            <w:r w:rsidR="001E584B">
              <w:rPr>
                <w:sz w:val="18"/>
                <w:szCs w:val="18"/>
                <w:lang w:bidi="fr-FR"/>
              </w:rPr>
              <w:t>’</w:t>
            </w:r>
            <w:r w:rsidRPr="0076393A">
              <w:rPr>
                <w:sz w:val="18"/>
                <w:szCs w:val="18"/>
                <w:lang w:bidi="fr-FR"/>
              </w:rPr>
              <w:t>identifier les besoins d</w:t>
            </w:r>
            <w:r w:rsidR="001E584B">
              <w:rPr>
                <w:sz w:val="18"/>
                <w:szCs w:val="18"/>
                <w:lang w:bidi="fr-FR"/>
              </w:rPr>
              <w:t>’</w:t>
            </w:r>
            <w:r w:rsidRPr="0076393A">
              <w:rPr>
                <w:sz w:val="18"/>
                <w:szCs w:val="18"/>
                <w:lang w:bidi="fr-FR"/>
              </w:rPr>
              <w:t>apprentissage des élèves en lecture et en mathématiques, de même que leur situation socio-émotionnelle.</w:t>
            </w:r>
          </w:p>
          <w:p w14:paraId="086EB984" w14:textId="32E3B9E4" w:rsidR="0076393A" w:rsidRPr="0076393A" w:rsidRDefault="00304851" w:rsidP="0076393A">
            <w:pPr>
              <w:pStyle w:val="Para"/>
              <w:rPr>
                <w:sz w:val="18"/>
                <w:szCs w:val="18"/>
              </w:rPr>
            </w:pPr>
            <w:r>
              <w:rPr>
                <w:sz w:val="18"/>
                <w:szCs w:val="18"/>
                <w:lang w:bidi="fr-FR"/>
              </w:rPr>
              <w:t>L</w:t>
            </w:r>
            <w:r w:rsidR="001E584B">
              <w:rPr>
                <w:sz w:val="18"/>
                <w:szCs w:val="18"/>
                <w:lang w:bidi="fr-FR"/>
              </w:rPr>
              <w:t>’</w:t>
            </w:r>
            <w:r>
              <w:rPr>
                <w:sz w:val="18"/>
                <w:szCs w:val="18"/>
                <w:lang w:bidi="fr-FR"/>
              </w:rPr>
              <w:t xml:space="preserve">équité reste au centre des réponses de nombreux pays, qui ont reconnu que la pandémie pouvait avoir un impact différent sur les élèves moins </w:t>
            </w:r>
            <w:proofErr w:type="spellStart"/>
            <w:r>
              <w:rPr>
                <w:sz w:val="18"/>
                <w:szCs w:val="18"/>
                <w:lang w:bidi="fr-FR"/>
              </w:rPr>
              <w:t>favorisé·e·s</w:t>
            </w:r>
            <w:proofErr w:type="spellEnd"/>
            <w:r>
              <w:rPr>
                <w:sz w:val="18"/>
                <w:szCs w:val="18"/>
                <w:lang w:bidi="fr-FR"/>
              </w:rPr>
              <w:t>, résidant en zones rurales ou plus vulnérables pour d</w:t>
            </w:r>
            <w:r w:rsidR="001E584B">
              <w:rPr>
                <w:sz w:val="18"/>
                <w:szCs w:val="18"/>
                <w:lang w:bidi="fr-FR"/>
              </w:rPr>
              <w:t>’</w:t>
            </w:r>
            <w:r>
              <w:rPr>
                <w:sz w:val="18"/>
                <w:szCs w:val="18"/>
                <w:lang w:bidi="fr-FR"/>
              </w:rPr>
              <w:t>autres raisons. L</w:t>
            </w:r>
            <w:r w:rsidR="001E584B">
              <w:rPr>
                <w:sz w:val="18"/>
                <w:szCs w:val="18"/>
                <w:lang w:bidi="fr-FR"/>
              </w:rPr>
              <w:t>’</w:t>
            </w:r>
            <w:r>
              <w:rPr>
                <w:sz w:val="18"/>
                <w:szCs w:val="18"/>
                <w:lang w:bidi="fr-FR"/>
              </w:rPr>
              <w:t>objectif était de rééquilibrer l</w:t>
            </w:r>
            <w:r w:rsidR="001E584B">
              <w:rPr>
                <w:sz w:val="18"/>
                <w:szCs w:val="18"/>
                <w:lang w:bidi="fr-FR"/>
              </w:rPr>
              <w:t>’</w:t>
            </w:r>
            <w:r>
              <w:rPr>
                <w:sz w:val="18"/>
                <w:szCs w:val="18"/>
                <w:lang w:bidi="fr-FR"/>
              </w:rPr>
              <w:t>égalité des chances en ciblant des mesures en lien avec la nutrition, la technologie ou le soutien social aux élèves et aux familles qui en avaient le plus besoin.</w:t>
            </w:r>
          </w:p>
          <w:p w14:paraId="0FFDA091" w14:textId="42F7BE1E" w:rsidR="00304851" w:rsidRDefault="00304851" w:rsidP="0076393A">
            <w:pPr>
              <w:pStyle w:val="Para"/>
              <w:rPr>
                <w:sz w:val="18"/>
                <w:szCs w:val="18"/>
              </w:rPr>
            </w:pPr>
            <w:r>
              <w:rPr>
                <w:sz w:val="18"/>
                <w:szCs w:val="18"/>
                <w:lang w:bidi="fr-FR"/>
              </w:rPr>
              <w:t>Dans l</w:t>
            </w:r>
            <w:r w:rsidR="001E584B">
              <w:rPr>
                <w:sz w:val="18"/>
                <w:szCs w:val="18"/>
                <w:lang w:bidi="fr-FR"/>
              </w:rPr>
              <w:t>’</w:t>
            </w:r>
            <w:r>
              <w:rPr>
                <w:sz w:val="18"/>
                <w:szCs w:val="18"/>
                <w:lang w:bidi="fr-FR"/>
              </w:rPr>
              <w:t>État de São Paulo, au Brésil, une des premières mesures du ministère de l</w:t>
            </w:r>
            <w:r w:rsidR="001E584B">
              <w:rPr>
                <w:sz w:val="18"/>
                <w:szCs w:val="18"/>
                <w:lang w:bidi="fr-FR"/>
              </w:rPr>
              <w:t>’</w:t>
            </w:r>
            <w:r>
              <w:rPr>
                <w:sz w:val="18"/>
                <w:szCs w:val="18"/>
                <w:lang w:bidi="fr-FR"/>
              </w:rPr>
              <w:t>Éducation a concerné la nutrition. En général, les écoles publiques offrent chaque jour un repas gratuit à l</w:t>
            </w:r>
            <w:r w:rsidR="001E584B">
              <w:rPr>
                <w:sz w:val="18"/>
                <w:szCs w:val="18"/>
                <w:lang w:bidi="fr-FR"/>
              </w:rPr>
              <w:t>’</w:t>
            </w:r>
            <w:r>
              <w:rPr>
                <w:sz w:val="18"/>
                <w:szCs w:val="18"/>
                <w:lang w:bidi="fr-FR"/>
              </w:rPr>
              <w:t>ensemble des élèves. Mais durant la fermeture des écoles, le ministère d</w:t>
            </w:r>
            <w:r w:rsidR="001E584B">
              <w:rPr>
                <w:sz w:val="18"/>
                <w:szCs w:val="18"/>
                <w:lang w:bidi="fr-FR"/>
              </w:rPr>
              <w:t>’</w:t>
            </w:r>
            <w:r>
              <w:rPr>
                <w:sz w:val="18"/>
                <w:szCs w:val="18"/>
                <w:lang w:bidi="fr-FR"/>
              </w:rPr>
              <w:t>État a décidé de cibler les élèves en situation d</w:t>
            </w:r>
            <w:r w:rsidR="001E584B">
              <w:rPr>
                <w:sz w:val="18"/>
                <w:szCs w:val="18"/>
                <w:lang w:bidi="fr-FR"/>
              </w:rPr>
              <w:t>’</w:t>
            </w:r>
            <w:r>
              <w:rPr>
                <w:sz w:val="18"/>
                <w:szCs w:val="18"/>
                <w:lang w:bidi="fr-FR"/>
              </w:rPr>
              <w:t>extrême pauvreté et de lancer le programme de soutien social « </w:t>
            </w:r>
            <w:proofErr w:type="spellStart"/>
            <w:r>
              <w:rPr>
                <w:sz w:val="18"/>
                <w:szCs w:val="18"/>
                <w:lang w:bidi="fr-FR"/>
              </w:rPr>
              <w:t>Merenda</w:t>
            </w:r>
            <w:proofErr w:type="spellEnd"/>
            <w:r>
              <w:rPr>
                <w:sz w:val="18"/>
                <w:szCs w:val="18"/>
                <w:lang w:bidi="fr-FR"/>
              </w:rPr>
              <w:t xml:space="preserve"> em Casa » visant à fournir de la nourriture aux élèves du quintile le plus bas dans la répartition des revenus, en transférant une allocation en espèces via la plateforme </w:t>
            </w:r>
            <w:proofErr w:type="spellStart"/>
            <w:r>
              <w:rPr>
                <w:sz w:val="18"/>
                <w:szCs w:val="18"/>
                <w:lang w:bidi="fr-FR"/>
              </w:rPr>
              <w:t>PicPay</w:t>
            </w:r>
            <w:proofErr w:type="spellEnd"/>
            <w:r>
              <w:rPr>
                <w:sz w:val="18"/>
                <w:szCs w:val="18"/>
                <w:lang w:bidi="fr-FR"/>
              </w:rPr>
              <w:t>. Pour les élèves qui ne bénéficient pas de la « </w:t>
            </w:r>
            <w:proofErr w:type="spellStart"/>
            <w:r>
              <w:rPr>
                <w:sz w:val="18"/>
                <w:szCs w:val="18"/>
                <w:lang w:bidi="fr-FR"/>
              </w:rPr>
              <w:t>Bolsa</w:t>
            </w:r>
            <w:proofErr w:type="spellEnd"/>
            <w:r>
              <w:rPr>
                <w:sz w:val="18"/>
                <w:szCs w:val="18"/>
                <w:lang w:bidi="fr-FR"/>
              </w:rPr>
              <w:t xml:space="preserve"> Familia », le gouvernement a mis en place un programme de transfert de liquidités, auxquelles viennent s</w:t>
            </w:r>
            <w:r w:rsidR="001E584B">
              <w:rPr>
                <w:sz w:val="18"/>
                <w:szCs w:val="18"/>
                <w:lang w:bidi="fr-FR"/>
              </w:rPr>
              <w:t>’</w:t>
            </w:r>
            <w:r>
              <w:rPr>
                <w:sz w:val="18"/>
                <w:szCs w:val="18"/>
                <w:lang w:bidi="fr-FR"/>
              </w:rPr>
              <w:t xml:space="preserve">ajouter les dons de </w:t>
            </w:r>
            <w:proofErr w:type="spellStart"/>
            <w:r>
              <w:rPr>
                <w:sz w:val="18"/>
                <w:szCs w:val="18"/>
                <w:lang w:bidi="fr-FR"/>
              </w:rPr>
              <w:t>Comunitas</w:t>
            </w:r>
            <w:proofErr w:type="spellEnd"/>
            <w:r>
              <w:rPr>
                <w:sz w:val="18"/>
                <w:szCs w:val="18"/>
                <w:lang w:bidi="fr-FR"/>
              </w:rPr>
              <w:t>, une organisation sans but lucratif, qui promeut les partenariats public-privé. Le ministère a également créé un groupe de travail chargé d</w:t>
            </w:r>
            <w:r w:rsidR="001E584B">
              <w:rPr>
                <w:sz w:val="18"/>
                <w:szCs w:val="18"/>
                <w:lang w:bidi="fr-FR"/>
              </w:rPr>
              <w:t>’</w:t>
            </w:r>
            <w:r>
              <w:rPr>
                <w:sz w:val="18"/>
                <w:szCs w:val="18"/>
                <w:lang w:bidi="fr-FR"/>
              </w:rPr>
              <w:t>entrer en contact téléphonique avec les parents des élèves « hors d</w:t>
            </w:r>
            <w:r w:rsidR="001E584B">
              <w:rPr>
                <w:sz w:val="18"/>
                <w:szCs w:val="18"/>
                <w:lang w:bidi="fr-FR"/>
              </w:rPr>
              <w:t>’</w:t>
            </w:r>
            <w:r>
              <w:rPr>
                <w:sz w:val="18"/>
                <w:szCs w:val="18"/>
                <w:lang w:bidi="fr-FR"/>
              </w:rPr>
              <w:t xml:space="preserve">atteinte », ou par tout autre moyen tel que les visites à domicile, après signalement de leur décrochage scolaire par </w:t>
            </w:r>
            <w:proofErr w:type="gramStart"/>
            <w:r>
              <w:rPr>
                <w:sz w:val="18"/>
                <w:szCs w:val="18"/>
                <w:lang w:bidi="fr-FR"/>
              </w:rPr>
              <w:t xml:space="preserve">les </w:t>
            </w:r>
            <w:proofErr w:type="spellStart"/>
            <w:r>
              <w:rPr>
                <w:sz w:val="18"/>
                <w:szCs w:val="18"/>
                <w:lang w:bidi="fr-FR"/>
              </w:rPr>
              <w:t>enseignant</w:t>
            </w:r>
            <w:proofErr w:type="gramEnd"/>
            <w:r>
              <w:rPr>
                <w:sz w:val="18"/>
                <w:szCs w:val="18"/>
                <w:lang w:bidi="fr-FR"/>
              </w:rPr>
              <w:t>·e·s</w:t>
            </w:r>
            <w:proofErr w:type="spellEnd"/>
            <w:r>
              <w:rPr>
                <w:sz w:val="18"/>
                <w:szCs w:val="18"/>
                <w:lang w:bidi="fr-FR"/>
              </w:rPr>
              <w:t xml:space="preserve"> (plus d</w:t>
            </w:r>
            <w:r w:rsidR="001E584B">
              <w:rPr>
                <w:sz w:val="18"/>
                <w:szCs w:val="18"/>
                <w:lang w:bidi="fr-FR"/>
              </w:rPr>
              <w:t>’</w:t>
            </w:r>
            <w:r>
              <w:rPr>
                <w:sz w:val="18"/>
                <w:szCs w:val="18"/>
                <w:lang w:bidi="fr-FR"/>
              </w:rPr>
              <w:t xml:space="preserve">informations </w:t>
            </w:r>
            <w:hyperlink r:id="rId22" w:history="1">
              <w:r w:rsidR="0076393A" w:rsidRPr="00F4274B">
                <w:rPr>
                  <w:rStyle w:val="Hyperlink"/>
                  <w:sz w:val="18"/>
                  <w:szCs w:val="18"/>
                  <w:lang w:bidi="fr-FR"/>
                </w:rPr>
                <w:t>ici</w:t>
              </w:r>
            </w:hyperlink>
            <w:r>
              <w:rPr>
                <w:sz w:val="18"/>
                <w:szCs w:val="18"/>
                <w:lang w:bidi="fr-FR"/>
              </w:rPr>
              <w:t>).</w:t>
            </w:r>
          </w:p>
          <w:p w14:paraId="785F7EC5" w14:textId="701998D5" w:rsidR="0076393A" w:rsidRDefault="00304851" w:rsidP="0076393A">
            <w:pPr>
              <w:pStyle w:val="Para"/>
              <w:rPr>
                <w:sz w:val="18"/>
                <w:szCs w:val="18"/>
              </w:rPr>
            </w:pPr>
            <w:r>
              <w:rPr>
                <w:sz w:val="18"/>
                <w:szCs w:val="18"/>
                <w:lang w:bidi="fr-FR"/>
              </w:rPr>
              <w:t>En Colombie, le gouvernement national a créé une plateforme de ressources d</w:t>
            </w:r>
            <w:r w:rsidR="001E584B">
              <w:rPr>
                <w:sz w:val="18"/>
                <w:szCs w:val="18"/>
                <w:lang w:bidi="fr-FR"/>
              </w:rPr>
              <w:t>’</w:t>
            </w:r>
            <w:r>
              <w:rPr>
                <w:sz w:val="18"/>
                <w:szCs w:val="18"/>
                <w:lang w:bidi="fr-FR"/>
              </w:rPr>
              <w:t>apprentissage pour téléphone portable (</w:t>
            </w:r>
            <w:proofErr w:type="spellStart"/>
            <w:r w:rsidR="00297AF9">
              <w:fldChar w:fldCharType="begin"/>
            </w:r>
            <w:r w:rsidR="00297AF9">
              <w:instrText xml:space="preserve"> HYPERLINK "https://oecdedutoday.com/wp-content/uploads/2020/06/Colombia-aprende-movil.pdf" </w:instrText>
            </w:r>
            <w:r w:rsidR="00297AF9">
              <w:fldChar w:fldCharType="separate"/>
            </w:r>
            <w:proofErr w:type="gramStart"/>
            <w:r w:rsidR="0076393A" w:rsidRPr="00F4274B">
              <w:rPr>
                <w:rStyle w:val="Hyperlink"/>
                <w:sz w:val="18"/>
                <w:szCs w:val="18"/>
                <w:lang w:bidi="fr-FR"/>
              </w:rPr>
              <w:t>movil.colombiaaprende</w:t>
            </w:r>
            <w:proofErr w:type="spellEnd"/>
            <w:proofErr w:type="gramEnd"/>
            <w:r w:rsidR="00297AF9">
              <w:rPr>
                <w:rStyle w:val="Hyperlink"/>
                <w:sz w:val="18"/>
                <w:szCs w:val="18"/>
                <w:lang w:bidi="fr-FR"/>
              </w:rPr>
              <w:fldChar w:fldCharType="end"/>
            </w:r>
            <w:r>
              <w:rPr>
                <w:sz w:val="18"/>
                <w:szCs w:val="18"/>
                <w:lang w:bidi="fr-FR"/>
              </w:rPr>
              <w:t>) et a publié un décret demandant aux opérateurs de téléphonie mobile de permettre un accès gratuit à des services et sites web d</w:t>
            </w:r>
            <w:r w:rsidR="001E584B">
              <w:rPr>
                <w:sz w:val="18"/>
                <w:szCs w:val="18"/>
                <w:lang w:bidi="fr-FR"/>
              </w:rPr>
              <w:t>’</w:t>
            </w:r>
            <w:r>
              <w:rPr>
                <w:sz w:val="18"/>
                <w:szCs w:val="18"/>
                <w:lang w:bidi="fr-FR"/>
              </w:rPr>
              <w:t>éducation spécifiques (voix et données). Le gouvernement a conclu un accord avec les opérateurs de téléphonie mobile et les fournisseurs d</w:t>
            </w:r>
            <w:r w:rsidR="001E584B">
              <w:rPr>
                <w:sz w:val="18"/>
                <w:szCs w:val="18"/>
                <w:lang w:bidi="fr-FR"/>
              </w:rPr>
              <w:t>’</w:t>
            </w:r>
            <w:r>
              <w:rPr>
                <w:sz w:val="18"/>
                <w:szCs w:val="18"/>
                <w:lang w:bidi="fr-FR"/>
              </w:rPr>
              <w:t xml:space="preserve">accès à Internet garantissant que </w:t>
            </w:r>
            <w:proofErr w:type="spellStart"/>
            <w:r>
              <w:rPr>
                <w:sz w:val="18"/>
                <w:szCs w:val="18"/>
                <w:lang w:bidi="fr-FR"/>
              </w:rPr>
              <w:t>tou·te·s</w:t>
            </w:r>
            <w:proofErr w:type="spellEnd"/>
            <w:r>
              <w:rPr>
                <w:sz w:val="18"/>
                <w:szCs w:val="18"/>
                <w:lang w:bidi="fr-FR"/>
              </w:rPr>
              <w:t xml:space="preserve"> les </w:t>
            </w:r>
            <w:proofErr w:type="spellStart"/>
            <w:r>
              <w:rPr>
                <w:sz w:val="18"/>
                <w:szCs w:val="18"/>
                <w:lang w:bidi="fr-FR"/>
              </w:rPr>
              <w:t>citoyen·ne·s</w:t>
            </w:r>
            <w:proofErr w:type="spellEnd"/>
            <w:r>
              <w:rPr>
                <w:sz w:val="18"/>
                <w:szCs w:val="18"/>
                <w:lang w:bidi="fr-FR"/>
              </w:rPr>
              <w:t xml:space="preserve"> puissent accéder à des contenus éducatifs et des directives, notamment les ménages disposant de peu de revenus, avec un plafond fixé à 20 USD. En Corée, en coopération avec le ministère des Sciences et des TIC, </w:t>
            </w:r>
            <w:proofErr w:type="spellStart"/>
            <w:r>
              <w:rPr>
                <w:sz w:val="18"/>
                <w:szCs w:val="18"/>
                <w:lang w:bidi="fr-FR"/>
              </w:rPr>
              <w:t>Statistics</w:t>
            </w:r>
            <w:proofErr w:type="spellEnd"/>
            <w:r>
              <w:rPr>
                <w:sz w:val="18"/>
                <w:szCs w:val="18"/>
                <w:lang w:bidi="fr-FR"/>
              </w:rPr>
              <w:t xml:space="preserve"> </w:t>
            </w:r>
            <w:proofErr w:type="spellStart"/>
            <w:r>
              <w:rPr>
                <w:sz w:val="18"/>
                <w:szCs w:val="18"/>
                <w:lang w:bidi="fr-FR"/>
              </w:rPr>
              <w:t>Korea</w:t>
            </w:r>
            <w:proofErr w:type="spellEnd"/>
            <w:r>
              <w:rPr>
                <w:sz w:val="18"/>
                <w:szCs w:val="18"/>
                <w:lang w:bidi="fr-FR"/>
              </w:rPr>
              <w:t>, les autorités locales, 17 bureaux métropolitains et provinciaux de l</w:t>
            </w:r>
            <w:r w:rsidR="001E584B">
              <w:rPr>
                <w:sz w:val="18"/>
                <w:szCs w:val="18"/>
                <w:lang w:bidi="fr-FR"/>
              </w:rPr>
              <w:t>’</w:t>
            </w:r>
            <w:r>
              <w:rPr>
                <w:sz w:val="18"/>
                <w:szCs w:val="18"/>
                <w:lang w:bidi="fr-FR"/>
              </w:rPr>
              <w:t>éducation et plusieurs entreprises privées, le ministère de l</w:t>
            </w:r>
            <w:r w:rsidR="001E584B">
              <w:rPr>
                <w:sz w:val="18"/>
                <w:szCs w:val="18"/>
                <w:lang w:bidi="fr-FR"/>
              </w:rPr>
              <w:t>’</w:t>
            </w:r>
            <w:r>
              <w:rPr>
                <w:sz w:val="18"/>
                <w:szCs w:val="18"/>
                <w:lang w:bidi="fr-FR"/>
              </w:rPr>
              <w:t>Éducation a fourni des appareils numériques et a pris en charge les frais d</w:t>
            </w:r>
            <w:r w:rsidR="001E584B">
              <w:rPr>
                <w:sz w:val="18"/>
                <w:szCs w:val="18"/>
                <w:lang w:bidi="fr-FR"/>
              </w:rPr>
              <w:t>’</w:t>
            </w:r>
            <w:r>
              <w:rPr>
                <w:sz w:val="18"/>
                <w:szCs w:val="18"/>
                <w:lang w:bidi="fr-FR"/>
              </w:rPr>
              <w:t xml:space="preserve">abonnement à Internet pour les élèves </w:t>
            </w:r>
            <w:proofErr w:type="spellStart"/>
            <w:r>
              <w:rPr>
                <w:sz w:val="18"/>
                <w:szCs w:val="18"/>
                <w:lang w:bidi="fr-FR"/>
              </w:rPr>
              <w:t>issu·e·s</w:t>
            </w:r>
            <w:proofErr w:type="spellEnd"/>
            <w:r>
              <w:rPr>
                <w:sz w:val="18"/>
                <w:szCs w:val="18"/>
                <w:lang w:bidi="fr-FR"/>
              </w:rPr>
              <w:t xml:space="preserve"> de milieux défavorisés afin de permettre à l</w:t>
            </w:r>
            <w:r w:rsidR="001E584B">
              <w:rPr>
                <w:sz w:val="18"/>
                <w:szCs w:val="18"/>
                <w:lang w:bidi="fr-FR"/>
              </w:rPr>
              <w:t>’</w:t>
            </w:r>
            <w:r>
              <w:rPr>
                <w:sz w:val="18"/>
                <w:szCs w:val="18"/>
                <w:lang w:bidi="fr-FR"/>
              </w:rPr>
              <w:t xml:space="preserve">ensemble des élèves de suivre les cours en ligne dans tout le pays. </w:t>
            </w:r>
            <w:proofErr w:type="spellStart"/>
            <w:r>
              <w:rPr>
                <w:sz w:val="18"/>
                <w:szCs w:val="18"/>
                <w:lang w:bidi="fr-FR"/>
              </w:rPr>
              <w:t>Tou·te·s</w:t>
            </w:r>
            <w:proofErr w:type="spellEnd"/>
            <w:r>
              <w:rPr>
                <w:sz w:val="18"/>
                <w:szCs w:val="18"/>
                <w:lang w:bidi="fr-FR"/>
              </w:rPr>
              <w:t xml:space="preserve"> les </w:t>
            </w:r>
            <w:proofErr w:type="spellStart"/>
            <w:r>
              <w:rPr>
                <w:sz w:val="18"/>
                <w:szCs w:val="18"/>
                <w:lang w:bidi="fr-FR"/>
              </w:rPr>
              <w:t>étudiant·e·s</w:t>
            </w:r>
            <w:proofErr w:type="spellEnd"/>
            <w:r>
              <w:rPr>
                <w:sz w:val="18"/>
                <w:szCs w:val="18"/>
                <w:lang w:bidi="fr-FR"/>
              </w:rPr>
              <w:t xml:space="preserve"> qui sollicitent des appareils numériques peuvent les louer sans frais. Au mois d</w:t>
            </w:r>
            <w:r w:rsidR="001E584B">
              <w:rPr>
                <w:sz w:val="18"/>
                <w:szCs w:val="18"/>
                <w:lang w:bidi="fr-FR"/>
              </w:rPr>
              <w:t>’</w:t>
            </w:r>
            <w:r>
              <w:rPr>
                <w:sz w:val="18"/>
                <w:szCs w:val="18"/>
                <w:lang w:bidi="fr-FR"/>
              </w:rPr>
              <w:t>avril 2021, 5,3 % de l</w:t>
            </w:r>
            <w:r w:rsidR="001E584B">
              <w:rPr>
                <w:sz w:val="18"/>
                <w:szCs w:val="18"/>
                <w:lang w:bidi="fr-FR"/>
              </w:rPr>
              <w:t>’</w:t>
            </w:r>
            <w:r>
              <w:rPr>
                <w:sz w:val="18"/>
                <w:szCs w:val="18"/>
                <w:lang w:bidi="fr-FR"/>
              </w:rPr>
              <w:t>ensemble des élèves (280.000) avaient loué des appareils numériques (plus d</w:t>
            </w:r>
            <w:r w:rsidR="001E584B">
              <w:rPr>
                <w:sz w:val="18"/>
                <w:szCs w:val="18"/>
                <w:lang w:bidi="fr-FR"/>
              </w:rPr>
              <w:t>’</w:t>
            </w:r>
            <w:r>
              <w:rPr>
                <w:sz w:val="18"/>
                <w:szCs w:val="18"/>
                <w:lang w:bidi="fr-FR"/>
              </w:rPr>
              <w:t xml:space="preserve">informations </w:t>
            </w:r>
            <w:hyperlink r:id="rId23" w:history="1">
              <w:r w:rsidR="0076393A" w:rsidRPr="00F4274B">
                <w:rPr>
                  <w:rStyle w:val="Hyperlink"/>
                  <w:sz w:val="18"/>
                  <w:szCs w:val="18"/>
                  <w:lang w:bidi="fr-FR"/>
                </w:rPr>
                <w:t>ici</w:t>
              </w:r>
            </w:hyperlink>
            <w:r>
              <w:rPr>
                <w:sz w:val="18"/>
                <w:szCs w:val="18"/>
                <w:lang w:bidi="fr-FR"/>
              </w:rPr>
              <w:t>).</w:t>
            </w:r>
          </w:p>
          <w:p w14:paraId="48745EAA" w14:textId="5D0B2EEB" w:rsidR="001F1B7C" w:rsidRDefault="0076393A" w:rsidP="00304851">
            <w:pPr>
              <w:pStyle w:val="Para"/>
              <w:rPr>
                <w:sz w:val="18"/>
                <w:szCs w:val="18"/>
              </w:rPr>
            </w:pPr>
            <w:r w:rsidRPr="0076393A">
              <w:rPr>
                <w:sz w:val="18"/>
                <w:szCs w:val="18"/>
                <w:lang w:bidi="fr-FR"/>
              </w:rPr>
              <w:t>Les pays de l</w:t>
            </w:r>
            <w:r w:rsidR="001E584B">
              <w:rPr>
                <w:sz w:val="18"/>
                <w:szCs w:val="18"/>
                <w:lang w:bidi="fr-FR"/>
              </w:rPr>
              <w:t>’</w:t>
            </w:r>
            <w:r w:rsidRPr="0076393A">
              <w:rPr>
                <w:sz w:val="18"/>
                <w:szCs w:val="18"/>
                <w:lang w:bidi="fr-FR"/>
              </w:rPr>
              <w:t>OCDE sont nombreux à avoir mis en place des plateformes en ligne proposant des ressources d</w:t>
            </w:r>
            <w:r w:rsidR="001E584B">
              <w:rPr>
                <w:sz w:val="18"/>
                <w:szCs w:val="18"/>
                <w:lang w:bidi="fr-FR"/>
              </w:rPr>
              <w:t>’</w:t>
            </w:r>
            <w:r w:rsidRPr="0076393A">
              <w:rPr>
                <w:sz w:val="18"/>
                <w:szCs w:val="18"/>
                <w:lang w:bidi="fr-FR"/>
              </w:rPr>
              <w:t>apprentissage, mais ont ajouté des programmes d</w:t>
            </w:r>
            <w:r w:rsidR="001E584B">
              <w:rPr>
                <w:sz w:val="18"/>
                <w:szCs w:val="18"/>
                <w:lang w:bidi="fr-FR"/>
              </w:rPr>
              <w:t>’</w:t>
            </w:r>
            <w:r w:rsidRPr="0076393A">
              <w:rPr>
                <w:sz w:val="18"/>
                <w:szCs w:val="18"/>
                <w:lang w:bidi="fr-FR"/>
              </w:rPr>
              <w:t>enseignement télévisés et radiophoniques, ou autres, pour s</w:t>
            </w:r>
            <w:r w:rsidR="001E584B">
              <w:rPr>
                <w:sz w:val="18"/>
                <w:szCs w:val="18"/>
                <w:lang w:bidi="fr-FR"/>
              </w:rPr>
              <w:t>’</w:t>
            </w:r>
            <w:r w:rsidRPr="0076393A">
              <w:rPr>
                <w:sz w:val="18"/>
                <w:szCs w:val="18"/>
                <w:lang w:bidi="fr-FR"/>
              </w:rPr>
              <w:t>adapter à des technologies plus accessibles dans différentes régions de leur territoire. La plupart de ces infrastructures s</w:t>
            </w:r>
            <w:r w:rsidR="001E584B">
              <w:rPr>
                <w:sz w:val="18"/>
                <w:szCs w:val="18"/>
                <w:lang w:bidi="fr-FR"/>
              </w:rPr>
              <w:t>’</w:t>
            </w:r>
            <w:r w:rsidRPr="0076393A">
              <w:rPr>
                <w:sz w:val="18"/>
                <w:szCs w:val="18"/>
                <w:lang w:bidi="fr-FR"/>
              </w:rPr>
              <w:t xml:space="preserve">adressent à des </w:t>
            </w:r>
            <w:proofErr w:type="spellStart"/>
            <w:r w:rsidRPr="0076393A">
              <w:rPr>
                <w:sz w:val="18"/>
                <w:szCs w:val="18"/>
                <w:lang w:bidi="fr-FR"/>
              </w:rPr>
              <w:t>utilisateur·rice·s</w:t>
            </w:r>
            <w:proofErr w:type="spellEnd"/>
            <w:r w:rsidRPr="0076393A">
              <w:rPr>
                <w:sz w:val="18"/>
                <w:szCs w:val="18"/>
                <w:lang w:bidi="fr-FR"/>
              </w:rPr>
              <w:t xml:space="preserve"> potentiellement </w:t>
            </w:r>
            <w:proofErr w:type="spellStart"/>
            <w:r w:rsidRPr="0076393A">
              <w:rPr>
                <w:sz w:val="18"/>
                <w:szCs w:val="18"/>
                <w:lang w:bidi="fr-FR"/>
              </w:rPr>
              <w:t>différent·e·s</w:t>
            </w:r>
            <w:proofErr w:type="spellEnd"/>
            <w:r w:rsidRPr="0076393A">
              <w:rPr>
                <w:sz w:val="18"/>
                <w:szCs w:val="18"/>
                <w:lang w:bidi="fr-FR"/>
              </w:rPr>
              <w:t xml:space="preserve"> (élèves, </w:t>
            </w:r>
            <w:proofErr w:type="spellStart"/>
            <w:r w:rsidRPr="0076393A">
              <w:rPr>
                <w:sz w:val="18"/>
                <w:szCs w:val="18"/>
                <w:lang w:bidi="fr-FR"/>
              </w:rPr>
              <w:t>enseignant·e·s</w:t>
            </w:r>
            <w:proofErr w:type="spellEnd"/>
            <w:r w:rsidRPr="0076393A">
              <w:rPr>
                <w:sz w:val="18"/>
                <w:szCs w:val="18"/>
                <w:lang w:bidi="fr-FR"/>
              </w:rPr>
              <w:t>, parents). Les infrastructures multimodales sont donc devenues une caractéristique des plateformes d</w:t>
            </w:r>
            <w:r w:rsidR="001E584B">
              <w:rPr>
                <w:sz w:val="18"/>
                <w:szCs w:val="18"/>
                <w:lang w:bidi="fr-FR"/>
              </w:rPr>
              <w:t>’</w:t>
            </w:r>
            <w:r w:rsidRPr="0076393A">
              <w:rPr>
                <w:sz w:val="18"/>
                <w:szCs w:val="18"/>
                <w:lang w:bidi="fr-FR"/>
              </w:rPr>
              <w:t xml:space="preserve">apprentissage numérique pendant la pandémie. Ces dernières </w:t>
            </w:r>
            <w:r w:rsidR="00D73F24">
              <w:rPr>
                <w:sz w:val="18"/>
                <w:szCs w:val="18"/>
                <w:lang w:bidi="fr-FR"/>
              </w:rPr>
              <w:t>pourraient</w:t>
            </w:r>
            <w:r w:rsidR="00D73F24" w:rsidRPr="0076393A">
              <w:rPr>
                <w:sz w:val="18"/>
                <w:szCs w:val="18"/>
                <w:lang w:bidi="fr-FR"/>
              </w:rPr>
              <w:t xml:space="preserve"> </w:t>
            </w:r>
            <w:r w:rsidRPr="0076393A">
              <w:rPr>
                <w:sz w:val="18"/>
                <w:szCs w:val="18"/>
                <w:lang w:bidi="fr-FR"/>
              </w:rPr>
              <w:t>peut-être inspirer la prochaine génération d</w:t>
            </w:r>
            <w:r w:rsidR="001E584B">
              <w:rPr>
                <w:sz w:val="18"/>
                <w:szCs w:val="18"/>
                <w:lang w:bidi="fr-FR"/>
              </w:rPr>
              <w:t>’</w:t>
            </w:r>
            <w:r w:rsidRPr="0076393A">
              <w:rPr>
                <w:sz w:val="18"/>
                <w:szCs w:val="18"/>
                <w:lang w:bidi="fr-FR"/>
              </w:rPr>
              <w:t xml:space="preserve">infrastructures. </w:t>
            </w:r>
          </w:p>
          <w:p w14:paraId="0E8C105E" w14:textId="16BA8BCD" w:rsidR="00304851" w:rsidRPr="0076393A" w:rsidRDefault="00304851" w:rsidP="00304851">
            <w:pPr>
              <w:pStyle w:val="Para"/>
              <w:rPr>
                <w:sz w:val="18"/>
                <w:szCs w:val="18"/>
              </w:rPr>
            </w:pPr>
            <w:r w:rsidRPr="0076393A">
              <w:rPr>
                <w:sz w:val="18"/>
                <w:szCs w:val="18"/>
                <w:lang w:bidi="fr-FR"/>
              </w:rPr>
              <w:t>Le Mexique s</w:t>
            </w:r>
            <w:r w:rsidR="001E584B">
              <w:rPr>
                <w:sz w:val="18"/>
                <w:szCs w:val="18"/>
                <w:lang w:bidi="fr-FR"/>
              </w:rPr>
              <w:t>’</w:t>
            </w:r>
            <w:r w:rsidRPr="0076393A">
              <w:rPr>
                <w:sz w:val="18"/>
                <w:szCs w:val="18"/>
                <w:lang w:bidi="fr-FR"/>
              </w:rPr>
              <w:t>est appuyé sur sa longue expérience de l</w:t>
            </w:r>
            <w:r w:rsidR="001E584B">
              <w:rPr>
                <w:sz w:val="18"/>
                <w:szCs w:val="18"/>
                <w:lang w:bidi="fr-FR"/>
              </w:rPr>
              <w:t>’</w:t>
            </w:r>
            <w:r w:rsidRPr="0076393A">
              <w:rPr>
                <w:sz w:val="18"/>
                <w:szCs w:val="18"/>
                <w:lang w:bidi="fr-FR"/>
              </w:rPr>
              <w:t>enseignement télévisé (</w:t>
            </w:r>
            <w:proofErr w:type="spellStart"/>
            <w:r w:rsidRPr="0076393A">
              <w:rPr>
                <w:sz w:val="18"/>
                <w:szCs w:val="18"/>
                <w:lang w:bidi="fr-FR"/>
              </w:rPr>
              <w:t>Telesecundaria</w:t>
            </w:r>
            <w:proofErr w:type="spellEnd"/>
            <w:r w:rsidRPr="0076393A">
              <w:rPr>
                <w:sz w:val="18"/>
                <w:szCs w:val="18"/>
                <w:lang w:bidi="fr-FR"/>
              </w:rPr>
              <w:t xml:space="preserve">) pour développer le programme </w:t>
            </w:r>
            <w:hyperlink r:id="rId24" w:history="1">
              <w:proofErr w:type="spellStart"/>
              <w:r w:rsidRPr="00F4274B">
                <w:rPr>
                  <w:rStyle w:val="Hyperlink"/>
                  <w:sz w:val="18"/>
                  <w:szCs w:val="18"/>
                  <w:lang w:bidi="fr-FR"/>
                </w:rPr>
                <w:t>Aprende</w:t>
              </w:r>
              <w:proofErr w:type="spellEnd"/>
              <w:r w:rsidRPr="00F4274B">
                <w:rPr>
                  <w:rStyle w:val="Hyperlink"/>
                  <w:sz w:val="18"/>
                  <w:szCs w:val="18"/>
                  <w:lang w:bidi="fr-FR"/>
                </w:rPr>
                <w:t xml:space="preserve"> en casa</w:t>
              </w:r>
            </w:hyperlink>
            <w:r w:rsidRPr="0076393A">
              <w:rPr>
                <w:sz w:val="18"/>
                <w:szCs w:val="18"/>
                <w:lang w:bidi="fr-FR"/>
              </w:rPr>
              <w:t>, basé principalement sur la diffusion de contenus audiovisuels via un réseau de chaînes de télévision ou en continu via les plateformes en ligne. Les contenus ont été étendus de l</w:t>
            </w:r>
            <w:r w:rsidR="001E584B">
              <w:rPr>
                <w:sz w:val="18"/>
                <w:szCs w:val="18"/>
                <w:lang w:bidi="fr-FR"/>
              </w:rPr>
              <w:t>’</w:t>
            </w:r>
            <w:r w:rsidRPr="0076393A">
              <w:rPr>
                <w:sz w:val="18"/>
                <w:szCs w:val="18"/>
                <w:lang w:bidi="fr-FR"/>
              </w:rPr>
              <w:t>enseignement secondaire à tous les niveaux de l</w:t>
            </w:r>
            <w:r w:rsidR="001E584B">
              <w:rPr>
                <w:sz w:val="18"/>
                <w:szCs w:val="18"/>
                <w:lang w:bidi="fr-FR"/>
              </w:rPr>
              <w:t>’</w:t>
            </w:r>
            <w:r w:rsidRPr="0076393A">
              <w:rPr>
                <w:sz w:val="18"/>
                <w:szCs w:val="18"/>
                <w:lang w:bidi="fr-FR"/>
              </w:rPr>
              <w:t>éducation et ont été diffusés à des heures spécifiques pour chaque niveau, complétés par des activités d</w:t>
            </w:r>
            <w:r w:rsidR="001E584B">
              <w:rPr>
                <w:sz w:val="18"/>
                <w:szCs w:val="18"/>
                <w:lang w:bidi="fr-FR"/>
              </w:rPr>
              <w:t>’</w:t>
            </w:r>
            <w:r w:rsidRPr="0076393A">
              <w:rPr>
                <w:sz w:val="18"/>
                <w:szCs w:val="18"/>
                <w:lang w:bidi="fr-FR"/>
              </w:rPr>
              <w:t>apprentissage et des questions d</w:t>
            </w:r>
            <w:r w:rsidR="001E584B">
              <w:rPr>
                <w:sz w:val="18"/>
                <w:szCs w:val="18"/>
                <w:lang w:bidi="fr-FR"/>
              </w:rPr>
              <w:t>’</w:t>
            </w:r>
            <w:r w:rsidRPr="0076393A">
              <w:rPr>
                <w:sz w:val="18"/>
                <w:szCs w:val="18"/>
                <w:lang w:bidi="fr-FR"/>
              </w:rPr>
              <w:t>évaluation disponibles en ligne ou en version imprimée dans les régions défavorisées dépourvues d</w:t>
            </w:r>
            <w:r w:rsidR="001E584B">
              <w:rPr>
                <w:sz w:val="18"/>
                <w:szCs w:val="18"/>
                <w:lang w:bidi="fr-FR"/>
              </w:rPr>
              <w:t>’</w:t>
            </w:r>
            <w:r w:rsidRPr="0076393A">
              <w:rPr>
                <w:sz w:val="18"/>
                <w:szCs w:val="18"/>
                <w:lang w:bidi="fr-FR"/>
              </w:rPr>
              <w:t xml:space="preserve">accès à Internet. Le programme </w:t>
            </w:r>
            <w:proofErr w:type="spellStart"/>
            <w:r w:rsidRPr="0076393A">
              <w:rPr>
                <w:i/>
                <w:sz w:val="18"/>
                <w:szCs w:val="18"/>
                <w:lang w:bidi="fr-FR"/>
              </w:rPr>
              <w:t>Aprende</w:t>
            </w:r>
            <w:proofErr w:type="spellEnd"/>
            <w:r w:rsidRPr="0076393A">
              <w:rPr>
                <w:i/>
                <w:sz w:val="18"/>
                <w:szCs w:val="18"/>
                <w:lang w:bidi="fr-FR"/>
              </w:rPr>
              <w:t xml:space="preserve"> en casa</w:t>
            </w:r>
            <w:r w:rsidRPr="0076393A">
              <w:rPr>
                <w:sz w:val="18"/>
                <w:szCs w:val="18"/>
                <w:lang w:bidi="fr-FR"/>
              </w:rPr>
              <w:t xml:space="preserve"> a également assuré la fourniture de 300.000 supports pédagogiques imprimés aux élèves des communautés rurales et isolées sans accès à Internet et a développé, en parallèle, une stratégie radiophonique spéciale pour atteindre les élèves des communautés autochtones.</w:t>
            </w:r>
          </w:p>
          <w:p w14:paraId="3EE43232" w14:textId="33F217B9" w:rsidR="0076393A" w:rsidRPr="0076393A" w:rsidRDefault="00304851" w:rsidP="0076393A">
            <w:pPr>
              <w:pStyle w:val="Para"/>
              <w:rPr>
                <w:sz w:val="18"/>
                <w:szCs w:val="18"/>
              </w:rPr>
            </w:pPr>
            <w:r>
              <w:rPr>
                <w:sz w:val="18"/>
                <w:szCs w:val="18"/>
                <w:lang w:bidi="fr-FR"/>
              </w:rPr>
              <w:t>Plusieurs initiatives similaires ont pu être observées dans les pays à revenu faible et intermédiaire. En Inde, par exemple, l</w:t>
            </w:r>
            <w:r w:rsidR="001E584B">
              <w:rPr>
                <w:sz w:val="18"/>
                <w:szCs w:val="18"/>
                <w:lang w:bidi="fr-FR"/>
              </w:rPr>
              <w:t>’</w:t>
            </w:r>
            <w:r>
              <w:rPr>
                <w:sz w:val="18"/>
                <w:szCs w:val="18"/>
                <w:lang w:bidi="fr-FR"/>
              </w:rPr>
              <w:t xml:space="preserve">État du </w:t>
            </w:r>
            <w:proofErr w:type="spellStart"/>
            <w:r>
              <w:rPr>
                <w:sz w:val="18"/>
                <w:szCs w:val="18"/>
                <w:lang w:bidi="fr-FR"/>
              </w:rPr>
              <w:t>Madhya</w:t>
            </w:r>
            <w:proofErr w:type="spellEnd"/>
            <w:r>
              <w:rPr>
                <w:sz w:val="18"/>
                <w:szCs w:val="18"/>
                <w:lang w:bidi="fr-FR"/>
              </w:rPr>
              <w:t xml:space="preserve"> Pradesh a développé des programmes numériques et non numériques dans le cadre </w:t>
            </w:r>
            <w:r>
              <w:rPr>
                <w:sz w:val="18"/>
                <w:szCs w:val="18"/>
                <w:lang w:bidi="fr-FR"/>
              </w:rPr>
              <w:lastRenderedPageBreak/>
              <w:t xml:space="preserve">de la campagne « #ab </w:t>
            </w:r>
            <w:proofErr w:type="spellStart"/>
            <w:r>
              <w:rPr>
                <w:sz w:val="18"/>
                <w:szCs w:val="18"/>
                <w:lang w:bidi="fr-FR"/>
              </w:rPr>
              <w:t>padhai</w:t>
            </w:r>
            <w:proofErr w:type="spellEnd"/>
            <w:r>
              <w:rPr>
                <w:sz w:val="18"/>
                <w:szCs w:val="18"/>
                <w:lang w:bidi="fr-FR"/>
              </w:rPr>
              <w:t xml:space="preserve"> </w:t>
            </w:r>
            <w:proofErr w:type="spellStart"/>
            <w:r>
              <w:rPr>
                <w:sz w:val="18"/>
                <w:szCs w:val="18"/>
                <w:lang w:bidi="fr-FR"/>
              </w:rPr>
              <w:t>nahi</w:t>
            </w:r>
            <w:proofErr w:type="spellEnd"/>
            <w:r>
              <w:rPr>
                <w:sz w:val="18"/>
                <w:szCs w:val="18"/>
                <w:lang w:bidi="fr-FR"/>
              </w:rPr>
              <w:t xml:space="preserve"> </w:t>
            </w:r>
            <w:proofErr w:type="spellStart"/>
            <w:r>
              <w:rPr>
                <w:sz w:val="18"/>
                <w:szCs w:val="18"/>
                <w:lang w:bidi="fr-FR"/>
              </w:rPr>
              <w:t>rukegi</w:t>
            </w:r>
            <w:proofErr w:type="spellEnd"/>
            <w:r>
              <w:rPr>
                <w:sz w:val="18"/>
                <w:szCs w:val="18"/>
                <w:lang w:bidi="fr-FR"/>
              </w:rPr>
              <w:t xml:space="preserve"> » </w:t>
            </w:r>
            <w:hyperlink r:id="rId25" w:history="1">
              <w:r w:rsidR="0076393A" w:rsidRPr="00480243">
                <w:rPr>
                  <w:rStyle w:val="Hyperlink"/>
                  <w:sz w:val="18"/>
                  <w:szCs w:val="18"/>
                  <w:u w:val="none"/>
                  <w:lang w:bidi="fr-FR"/>
                </w:rPr>
                <w:t>(</w:t>
              </w:r>
              <w:r w:rsidR="0076393A" w:rsidRPr="00F4274B">
                <w:rPr>
                  <w:rStyle w:val="Hyperlink"/>
                  <w:sz w:val="18"/>
                  <w:szCs w:val="18"/>
                  <w:lang w:bidi="fr-FR"/>
                </w:rPr>
                <w:t>l</w:t>
              </w:r>
              <w:r w:rsidR="001E584B">
                <w:rPr>
                  <w:rStyle w:val="Hyperlink"/>
                  <w:sz w:val="18"/>
                  <w:szCs w:val="18"/>
                  <w:lang w:bidi="fr-FR"/>
                </w:rPr>
                <w:t>’</w:t>
              </w:r>
              <w:r w:rsidR="0076393A" w:rsidRPr="00F4274B">
                <w:rPr>
                  <w:rStyle w:val="Hyperlink"/>
                  <w:sz w:val="18"/>
                  <w:szCs w:val="18"/>
                  <w:lang w:bidi="fr-FR"/>
                </w:rPr>
                <w:t>apprentissage ne s</w:t>
              </w:r>
              <w:r w:rsidR="001E584B">
                <w:rPr>
                  <w:rStyle w:val="Hyperlink"/>
                  <w:sz w:val="18"/>
                  <w:szCs w:val="18"/>
                  <w:lang w:bidi="fr-FR"/>
                </w:rPr>
                <w:t>’</w:t>
              </w:r>
              <w:r w:rsidR="0076393A" w:rsidRPr="00F4274B">
                <w:rPr>
                  <w:rStyle w:val="Hyperlink"/>
                  <w:sz w:val="18"/>
                  <w:szCs w:val="18"/>
                  <w:lang w:bidi="fr-FR"/>
                </w:rPr>
                <w:t>arrêtera pas</w:t>
              </w:r>
            </w:hyperlink>
            <w:r>
              <w:rPr>
                <w:sz w:val="18"/>
                <w:szCs w:val="18"/>
                <w:lang w:bidi="fr-FR"/>
              </w:rPr>
              <w:t>) pour assurer la continuité de l</w:t>
            </w:r>
            <w:r w:rsidR="001E584B">
              <w:rPr>
                <w:sz w:val="18"/>
                <w:szCs w:val="18"/>
                <w:lang w:bidi="fr-FR"/>
              </w:rPr>
              <w:t>’</w:t>
            </w:r>
            <w:r>
              <w:rPr>
                <w:sz w:val="18"/>
                <w:szCs w:val="18"/>
                <w:lang w:bidi="fr-FR"/>
              </w:rPr>
              <w:t>apprentissage durant la fermeture des écoles. Les programmes non numériques adressés aux élèves comportent des leçons diffusées à la radio pour les classes de primaire, des programmes de télévision scolaire pour les classes de secondaire, auxquels viennent s</w:t>
            </w:r>
            <w:r w:rsidR="001E584B">
              <w:rPr>
                <w:sz w:val="18"/>
                <w:szCs w:val="18"/>
                <w:lang w:bidi="fr-FR"/>
              </w:rPr>
              <w:t>’</w:t>
            </w:r>
            <w:r>
              <w:rPr>
                <w:sz w:val="18"/>
                <w:szCs w:val="18"/>
                <w:lang w:bidi="fr-FR"/>
              </w:rPr>
              <w:t xml:space="preserve">ajouter des manuels, des feuilles de travail et des interactions individuelles avec </w:t>
            </w:r>
            <w:proofErr w:type="gramStart"/>
            <w:r>
              <w:rPr>
                <w:sz w:val="18"/>
                <w:szCs w:val="18"/>
                <w:lang w:bidi="fr-FR"/>
              </w:rPr>
              <w:t xml:space="preserve">les </w:t>
            </w:r>
            <w:proofErr w:type="spellStart"/>
            <w:r>
              <w:rPr>
                <w:sz w:val="18"/>
                <w:szCs w:val="18"/>
                <w:lang w:bidi="fr-FR"/>
              </w:rPr>
              <w:t>enseignant</w:t>
            </w:r>
            <w:proofErr w:type="gramEnd"/>
            <w:r>
              <w:rPr>
                <w:sz w:val="18"/>
                <w:szCs w:val="18"/>
                <w:lang w:bidi="fr-FR"/>
              </w:rPr>
              <w:t>·e·s</w:t>
            </w:r>
            <w:proofErr w:type="spellEnd"/>
            <w:r>
              <w:rPr>
                <w:sz w:val="18"/>
                <w:szCs w:val="18"/>
                <w:lang w:bidi="fr-FR"/>
              </w:rPr>
              <w:t xml:space="preserve"> pour toutes les classes. La composante numérique, le « Digital Learning </w:t>
            </w:r>
            <w:proofErr w:type="spellStart"/>
            <w:r>
              <w:rPr>
                <w:sz w:val="18"/>
                <w:szCs w:val="18"/>
                <w:lang w:bidi="fr-FR"/>
              </w:rPr>
              <w:t>Enhancement</w:t>
            </w:r>
            <w:proofErr w:type="spellEnd"/>
            <w:r>
              <w:rPr>
                <w:sz w:val="18"/>
                <w:szCs w:val="18"/>
                <w:lang w:bidi="fr-FR"/>
              </w:rPr>
              <w:t xml:space="preserve"> Programme » (</w:t>
            </w:r>
            <w:proofErr w:type="spellStart"/>
            <w:r>
              <w:rPr>
                <w:sz w:val="18"/>
                <w:szCs w:val="18"/>
                <w:lang w:bidi="fr-FR"/>
              </w:rPr>
              <w:t>DigiLEP</w:t>
            </w:r>
            <w:proofErr w:type="spellEnd"/>
            <w:r>
              <w:rPr>
                <w:sz w:val="18"/>
                <w:szCs w:val="18"/>
                <w:lang w:bidi="fr-FR"/>
              </w:rPr>
              <w:t>) propose du matériel d</w:t>
            </w:r>
            <w:r w:rsidR="001E584B">
              <w:rPr>
                <w:sz w:val="18"/>
                <w:szCs w:val="18"/>
                <w:lang w:bidi="fr-FR"/>
              </w:rPr>
              <w:t>’</w:t>
            </w:r>
            <w:r>
              <w:rPr>
                <w:sz w:val="18"/>
                <w:szCs w:val="18"/>
                <w:lang w:bidi="fr-FR"/>
              </w:rPr>
              <w:t xml:space="preserve">apprentissage sélectionné pour toutes les classes via des groupes WhatsApp. Le programme numérique de formation des </w:t>
            </w:r>
            <w:proofErr w:type="spellStart"/>
            <w:r>
              <w:rPr>
                <w:sz w:val="18"/>
                <w:szCs w:val="18"/>
                <w:lang w:bidi="fr-FR"/>
              </w:rPr>
              <w:t>enseignant·e·s</w:t>
            </w:r>
            <w:proofErr w:type="spellEnd"/>
            <w:r>
              <w:rPr>
                <w:sz w:val="18"/>
                <w:szCs w:val="18"/>
                <w:lang w:bidi="fr-FR"/>
              </w:rPr>
              <w:t xml:space="preserve"> CM RISE soutient le développement professionnel des </w:t>
            </w:r>
            <w:proofErr w:type="spellStart"/>
            <w:r>
              <w:rPr>
                <w:sz w:val="18"/>
                <w:szCs w:val="18"/>
                <w:lang w:bidi="fr-FR"/>
              </w:rPr>
              <w:t>enseignant·e·s</w:t>
            </w:r>
            <w:proofErr w:type="spellEnd"/>
            <w:r>
              <w:rPr>
                <w:sz w:val="18"/>
                <w:szCs w:val="18"/>
                <w:lang w:bidi="fr-FR"/>
              </w:rPr>
              <w:t xml:space="preserve"> en ligne. Une application, </w:t>
            </w:r>
            <w:proofErr w:type="spellStart"/>
            <w:r>
              <w:rPr>
                <w:sz w:val="18"/>
                <w:szCs w:val="18"/>
                <w:lang w:bidi="fr-FR"/>
              </w:rPr>
              <w:t>TopParent</w:t>
            </w:r>
            <w:proofErr w:type="spellEnd"/>
            <w:r>
              <w:rPr>
                <w:sz w:val="18"/>
                <w:szCs w:val="18"/>
                <w:lang w:bidi="fr-FR"/>
              </w:rPr>
              <w:t>, a été créée pour aider les parents à suivre l</w:t>
            </w:r>
            <w:r w:rsidR="001E584B">
              <w:rPr>
                <w:sz w:val="18"/>
                <w:szCs w:val="18"/>
                <w:lang w:bidi="fr-FR"/>
              </w:rPr>
              <w:t>’</w:t>
            </w:r>
            <w:r>
              <w:rPr>
                <w:sz w:val="18"/>
                <w:szCs w:val="18"/>
                <w:lang w:bidi="fr-FR"/>
              </w:rPr>
              <w:t>apprentissage des élèves de primaire. Des initiatives basées sur des plateformes multimodales ont été développées dans d</w:t>
            </w:r>
            <w:r w:rsidR="001E584B">
              <w:rPr>
                <w:sz w:val="18"/>
                <w:szCs w:val="18"/>
                <w:lang w:bidi="fr-FR"/>
              </w:rPr>
              <w:t>’</w:t>
            </w:r>
            <w:r>
              <w:rPr>
                <w:sz w:val="18"/>
                <w:szCs w:val="18"/>
                <w:lang w:bidi="fr-FR"/>
              </w:rPr>
              <w:t>autres États indiens (</w:t>
            </w:r>
            <w:hyperlink r:id="rId26" w:history="1">
              <w:r w:rsidR="00F4274B" w:rsidRPr="00F4274B">
                <w:rPr>
                  <w:rStyle w:val="Hyperlink"/>
                  <w:sz w:val="18"/>
                  <w:szCs w:val="18"/>
                  <w:lang w:bidi="fr-FR"/>
                </w:rPr>
                <w:t>Nagaland</w:t>
              </w:r>
            </w:hyperlink>
            <w:r>
              <w:rPr>
                <w:sz w:val="18"/>
                <w:szCs w:val="18"/>
                <w:lang w:bidi="fr-FR"/>
              </w:rPr>
              <w:t>) et d</w:t>
            </w:r>
            <w:r w:rsidR="001E584B">
              <w:rPr>
                <w:sz w:val="18"/>
                <w:szCs w:val="18"/>
                <w:lang w:bidi="fr-FR"/>
              </w:rPr>
              <w:t>’</w:t>
            </w:r>
            <w:r>
              <w:rPr>
                <w:sz w:val="18"/>
                <w:szCs w:val="18"/>
                <w:lang w:bidi="fr-FR"/>
              </w:rPr>
              <w:t>autres pays (</w:t>
            </w:r>
            <w:hyperlink r:id="rId27" w:history="1">
              <w:r w:rsidR="00F4274B" w:rsidRPr="00F4274B">
                <w:rPr>
                  <w:rStyle w:val="Hyperlink"/>
                  <w:sz w:val="18"/>
                  <w:szCs w:val="18"/>
                  <w:lang w:bidi="fr-FR"/>
                </w:rPr>
                <w:t>Pakistan</w:t>
              </w:r>
            </w:hyperlink>
            <w:r>
              <w:rPr>
                <w:sz w:val="18"/>
                <w:szCs w:val="18"/>
                <w:lang w:bidi="fr-FR"/>
              </w:rPr>
              <w:t xml:space="preserve"> ou </w:t>
            </w:r>
            <w:hyperlink r:id="rId28" w:history="1">
              <w:r w:rsidR="00F4274B" w:rsidRPr="00F4274B">
                <w:rPr>
                  <w:rStyle w:val="Hyperlink"/>
                  <w:sz w:val="18"/>
                  <w:szCs w:val="18"/>
                  <w:lang w:bidi="fr-FR"/>
                </w:rPr>
                <w:t>Pérou</w:t>
              </w:r>
            </w:hyperlink>
            <w:r>
              <w:rPr>
                <w:sz w:val="18"/>
                <w:szCs w:val="18"/>
                <w:lang w:bidi="fr-FR"/>
              </w:rPr>
              <w:t>).</w:t>
            </w:r>
          </w:p>
          <w:p w14:paraId="577DB967" w14:textId="430FBA47" w:rsidR="0076393A" w:rsidRDefault="000E3363" w:rsidP="0076393A">
            <w:pPr>
              <w:pStyle w:val="Para"/>
              <w:rPr>
                <w:sz w:val="18"/>
                <w:szCs w:val="18"/>
              </w:rPr>
            </w:pPr>
            <w:r>
              <w:rPr>
                <w:sz w:val="18"/>
                <w:szCs w:val="18"/>
                <w:lang w:bidi="fr-FR"/>
              </w:rPr>
              <w:t>Ces initiatives ne se</w:t>
            </w:r>
            <w:r w:rsidR="001577BA">
              <w:rPr>
                <w:sz w:val="18"/>
                <w:szCs w:val="18"/>
                <w:lang w:bidi="fr-FR"/>
              </w:rPr>
              <w:t xml:space="preserve"> limite</w:t>
            </w:r>
            <w:r>
              <w:rPr>
                <w:sz w:val="18"/>
                <w:szCs w:val="18"/>
                <w:lang w:bidi="fr-FR"/>
              </w:rPr>
              <w:t>nt</w:t>
            </w:r>
            <w:r w:rsidR="001577BA">
              <w:rPr>
                <w:sz w:val="18"/>
                <w:szCs w:val="18"/>
                <w:lang w:bidi="fr-FR"/>
              </w:rPr>
              <w:t xml:space="preserve"> pas uniquement aux pays à revenu faible et intermédiaire : la </w:t>
            </w:r>
            <w:hyperlink r:id="rId29" w:history="1">
              <w:r w:rsidR="001577BA" w:rsidRPr="00F4274B">
                <w:rPr>
                  <w:rStyle w:val="Hyperlink"/>
                  <w:sz w:val="18"/>
                  <w:szCs w:val="18"/>
                  <w:lang w:bidi="fr-FR"/>
                </w:rPr>
                <w:t>Lettonie</w:t>
              </w:r>
            </w:hyperlink>
            <w:r w:rsidR="001577BA">
              <w:rPr>
                <w:sz w:val="18"/>
                <w:szCs w:val="18"/>
                <w:lang w:bidi="fr-FR"/>
              </w:rPr>
              <w:t>, la France ou l</w:t>
            </w:r>
            <w:r w:rsidR="001E584B">
              <w:rPr>
                <w:sz w:val="18"/>
                <w:szCs w:val="18"/>
                <w:lang w:bidi="fr-FR"/>
              </w:rPr>
              <w:t>’</w:t>
            </w:r>
            <w:r w:rsidR="001577BA">
              <w:rPr>
                <w:sz w:val="18"/>
                <w:szCs w:val="18"/>
                <w:lang w:bidi="fr-FR"/>
              </w:rPr>
              <w:t>Espagne ont adopté une approche similaire. En Espagne, le ministère de l</w:t>
            </w:r>
            <w:r w:rsidR="001E584B">
              <w:rPr>
                <w:sz w:val="18"/>
                <w:szCs w:val="18"/>
                <w:lang w:bidi="fr-FR"/>
              </w:rPr>
              <w:t>’</w:t>
            </w:r>
            <w:r w:rsidR="001577BA">
              <w:rPr>
                <w:sz w:val="18"/>
                <w:szCs w:val="18"/>
                <w:lang w:bidi="fr-FR"/>
              </w:rPr>
              <w:t xml:space="preserve">Éducation a lancé un portail web, </w:t>
            </w:r>
            <w:proofErr w:type="spellStart"/>
            <w:r w:rsidR="001577BA">
              <w:rPr>
                <w:sz w:val="18"/>
                <w:szCs w:val="18"/>
                <w:lang w:bidi="fr-FR"/>
              </w:rPr>
              <w:t>Aprendo</w:t>
            </w:r>
            <w:proofErr w:type="spellEnd"/>
            <w:r w:rsidR="001577BA">
              <w:rPr>
                <w:sz w:val="18"/>
                <w:szCs w:val="18"/>
                <w:lang w:bidi="fr-FR"/>
              </w:rPr>
              <w:t xml:space="preserve"> en casa (</w:t>
            </w:r>
            <w:hyperlink r:id="rId30" w:history="1">
              <w:r w:rsidR="0076393A" w:rsidRPr="00F4274B">
                <w:rPr>
                  <w:rStyle w:val="Hyperlink"/>
                  <w:sz w:val="18"/>
                  <w:szCs w:val="18"/>
                  <w:lang w:bidi="fr-FR"/>
                </w:rPr>
                <w:t>J</w:t>
              </w:r>
              <w:r w:rsidR="001E584B">
                <w:rPr>
                  <w:rStyle w:val="Hyperlink"/>
                  <w:sz w:val="18"/>
                  <w:szCs w:val="18"/>
                  <w:lang w:bidi="fr-FR"/>
                </w:rPr>
                <w:t>’</w:t>
              </w:r>
              <w:r w:rsidR="0076393A" w:rsidRPr="00F4274B">
                <w:rPr>
                  <w:rStyle w:val="Hyperlink"/>
                  <w:sz w:val="18"/>
                  <w:szCs w:val="18"/>
                  <w:lang w:bidi="fr-FR"/>
                </w:rPr>
                <w:t>apprends à la maison</w:t>
              </w:r>
            </w:hyperlink>
            <w:r w:rsidR="001577BA">
              <w:rPr>
                <w:sz w:val="18"/>
                <w:szCs w:val="18"/>
                <w:lang w:bidi="fr-FR"/>
              </w:rPr>
              <w:t xml:space="preserve">), proposant des ressources éducatives de qualité, des formations en ligne, des outils et des applications pour </w:t>
            </w:r>
            <w:proofErr w:type="gramStart"/>
            <w:r w:rsidR="001577BA">
              <w:rPr>
                <w:sz w:val="18"/>
                <w:szCs w:val="18"/>
                <w:lang w:bidi="fr-FR"/>
              </w:rPr>
              <w:t xml:space="preserve">les </w:t>
            </w:r>
            <w:proofErr w:type="spellStart"/>
            <w:r w:rsidR="001577BA">
              <w:rPr>
                <w:sz w:val="18"/>
                <w:szCs w:val="18"/>
                <w:lang w:bidi="fr-FR"/>
              </w:rPr>
              <w:t>enseignant</w:t>
            </w:r>
            <w:proofErr w:type="gramEnd"/>
            <w:r w:rsidR="001577BA">
              <w:rPr>
                <w:sz w:val="18"/>
                <w:szCs w:val="18"/>
                <w:lang w:bidi="fr-FR"/>
              </w:rPr>
              <w:t>·e·s</w:t>
            </w:r>
            <w:proofErr w:type="spellEnd"/>
            <w:r w:rsidR="001577BA">
              <w:rPr>
                <w:sz w:val="18"/>
                <w:szCs w:val="18"/>
                <w:lang w:bidi="fr-FR"/>
              </w:rPr>
              <w:t xml:space="preserve">, les familles et les élèves. Un partenariat avec la télévision nationale a permis de diffuser </w:t>
            </w:r>
            <w:r>
              <w:rPr>
                <w:sz w:val="18"/>
                <w:szCs w:val="18"/>
                <w:lang w:bidi="fr-FR"/>
              </w:rPr>
              <w:t>cinq</w:t>
            </w:r>
            <w:r w:rsidR="001577BA">
              <w:rPr>
                <w:sz w:val="18"/>
                <w:szCs w:val="18"/>
                <w:lang w:bidi="fr-FR"/>
              </w:rPr>
              <w:t xml:space="preserve"> heures de programmes éducatifs tous les matins de la semaine scolaire, pouvant être revisionnés en différé sur le portail et utilisés comme ressources d</w:t>
            </w:r>
            <w:r w:rsidR="001E584B">
              <w:rPr>
                <w:sz w:val="18"/>
                <w:szCs w:val="18"/>
                <w:lang w:bidi="fr-FR"/>
              </w:rPr>
              <w:t>’</w:t>
            </w:r>
            <w:r w:rsidR="001577BA">
              <w:rPr>
                <w:sz w:val="18"/>
                <w:szCs w:val="18"/>
                <w:lang w:bidi="fr-FR"/>
              </w:rPr>
              <w:t xml:space="preserve">apprentissage par </w:t>
            </w:r>
            <w:proofErr w:type="gramStart"/>
            <w:r w:rsidR="001577BA">
              <w:rPr>
                <w:sz w:val="18"/>
                <w:szCs w:val="18"/>
                <w:lang w:bidi="fr-FR"/>
              </w:rPr>
              <w:t xml:space="preserve">les </w:t>
            </w:r>
            <w:proofErr w:type="spellStart"/>
            <w:r w:rsidR="001577BA">
              <w:rPr>
                <w:sz w:val="18"/>
                <w:szCs w:val="18"/>
                <w:lang w:bidi="fr-FR"/>
              </w:rPr>
              <w:t>enseignant</w:t>
            </w:r>
            <w:proofErr w:type="gramEnd"/>
            <w:r w:rsidR="001577BA">
              <w:rPr>
                <w:sz w:val="18"/>
                <w:szCs w:val="18"/>
                <w:lang w:bidi="fr-FR"/>
              </w:rPr>
              <w:t>·e·s</w:t>
            </w:r>
            <w:proofErr w:type="spellEnd"/>
            <w:r w:rsidR="001577BA">
              <w:rPr>
                <w:sz w:val="18"/>
                <w:szCs w:val="18"/>
                <w:lang w:bidi="fr-FR"/>
              </w:rPr>
              <w:t>.</w:t>
            </w:r>
          </w:p>
          <w:p w14:paraId="33D865D9" w14:textId="365C4BC8" w:rsidR="0076393A" w:rsidRPr="0076393A" w:rsidRDefault="001577BA" w:rsidP="0076393A">
            <w:pPr>
              <w:pStyle w:val="Para"/>
              <w:rPr>
                <w:sz w:val="18"/>
                <w:szCs w:val="18"/>
              </w:rPr>
            </w:pPr>
            <w:r>
              <w:rPr>
                <w:sz w:val="18"/>
                <w:szCs w:val="18"/>
                <w:lang w:bidi="fr-FR"/>
              </w:rPr>
              <w:t xml:space="preserve">Dans plusieurs pays, les </w:t>
            </w:r>
            <w:proofErr w:type="spellStart"/>
            <w:r>
              <w:rPr>
                <w:sz w:val="18"/>
                <w:szCs w:val="18"/>
                <w:lang w:bidi="fr-FR"/>
              </w:rPr>
              <w:t>enseignant·e·s</w:t>
            </w:r>
            <w:proofErr w:type="spellEnd"/>
            <w:r>
              <w:rPr>
                <w:sz w:val="18"/>
                <w:szCs w:val="18"/>
                <w:lang w:bidi="fr-FR"/>
              </w:rPr>
              <w:t xml:space="preserve"> ont joué un rôle essentiel dans le développement de solutions pour assurer la continuité de l</w:t>
            </w:r>
            <w:r w:rsidR="001E584B">
              <w:rPr>
                <w:sz w:val="18"/>
                <w:szCs w:val="18"/>
                <w:lang w:bidi="fr-FR"/>
              </w:rPr>
              <w:t>’</w:t>
            </w:r>
            <w:r>
              <w:rPr>
                <w:sz w:val="18"/>
                <w:szCs w:val="18"/>
                <w:lang w:bidi="fr-FR"/>
              </w:rPr>
              <w:t xml:space="preserve">apprentissage. En Finlande, </w:t>
            </w:r>
            <w:proofErr w:type="spellStart"/>
            <w:r>
              <w:rPr>
                <w:sz w:val="18"/>
                <w:szCs w:val="18"/>
                <w:lang w:bidi="fr-FR"/>
              </w:rPr>
              <w:t>Yle</w:t>
            </w:r>
            <w:proofErr w:type="spellEnd"/>
            <w:r>
              <w:rPr>
                <w:sz w:val="18"/>
                <w:szCs w:val="18"/>
                <w:lang w:bidi="fr-FR"/>
              </w:rPr>
              <w:t>, la société nationale de radiodiffusion, a créé une petite équipe interne chargée de sélectionner les ressources pouvant s</w:t>
            </w:r>
            <w:r w:rsidR="001E584B">
              <w:rPr>
                <w:sz w:val="18"/>
                <w:szCs w:val="18"/>
                <w:lang w:bidi="fr-FR"/>
              </w:rPr>
              <w:t>’</w:t>
            </w:r>
            <w:r>
              <w:rPr>
                <w:sz w:val="18"/>
                <w:szCs w:val="18"/>
                <w:lang w:bidi="fr-FR"/>
              </w:rPr>
              <w:t>avérer utiles pour l</w:t>
            </w:r>
            <w:r w:rsidR="001E584B">
              <w:rPr>
                <w:sz w:val="18"/>
                <w:szCs w:val="18"/>
                <w:lang w:bidi="fr-FR"/>
              </w:rPr>
              <w:t>’</w:t>
            </w:r>
            <w:r>
              <w:rPr>
                <w:sz w:val="18"/>
                <w:szCs w:val="18"/>
                <w:lang w:bidi="fr-FR"/>
              </w:rPr>
              <w:t xml:space="preserve">apprentissage à distance. </w:t>
            </w:r>
            <w:proofErr w:type="spellStart"/>
            <w:r>
              <w:rPr>
                <w:sz w:val="18"/>
                <w:szCs w:val="18"/>
                <w:lang w:bidi="fr-FR"/>
              </w:rPr>
              <w:t>Yle</w:t>
            </w:r>
            <w:proofErr w:type="spellEnd"/>
            <w:r>
              <w:rPr>
                <w:sz w:val="18"/>
                <w:szCs w:val="18"/>
                <w:lang w:bidi="fr-FR"/>
              </w:rPr>
              <w:t xml:space="preserve"> a ouvert un compte Facebook pour </w:t>
            </w:r>
            <w:proofErr w:type="gramStart"/>
            <w:r>
              <w:rPr>
                <w:sz w:val="18"/>
                <w:szCs w:val="18"/>
                <w:lang w:bidi="fr-FR"/>
              </w:rPr>
              <w:t xml:space="preserve">les </w:t>
            </w:r>
            <w:proofErr w:type="spellStart"/>
            <w:r>
              <w:rPr>
                <w:sz w:val="18"/>
                <w:szCs w:val="18"/>
                <w:lang w:bidi="fr-FR"/>
              </w:rPr>
              <w:t>enseignant</w:t>
            </w:r>
            <w:proofErr w:type="gramEnd"/>
            <w:r>
              <w:rPr>
                <w:sz w:val="18"/>
                <w:szCs w:val="18"/>
                <w:lang w:bidi="fr-FR"/>
              </w:rPr>
              <w:t>·e·s</w:t>
            </w:r>
            <w:proofErr w:type="spellEnd"/>
            <w:r>
              <w:rPr>
                <w:sz w:val="18"/>
                <w:szCs w:val="18"/>
                <w:lang w:bidi="fr-FR"/>
              </w:rPr>
              <w:t xml:space="preserve"> « </w:t>
            </w:r>
            <w:proofErr w:type="spellStart"/>
            <w:r>
              <w:rPr>
                <w:sz w:val="18"/>
                <w:szCs w:val="18"/>
                <w:lang w:bidi="fr-FR"/>
              </w:rPr>
              <w:t>proactif·ive·s</w:t>
            </w:r>
            <w:proofErr w:type="spellEnd"/>
            <w:r>
              <w:rPr>
                <w:sz w:val="18"/>
                <w:szCs w:val="18"/>
                <w:lang w:bidi="fr-FR"/>
              </w:rPr>
              <w:t xml:space="preserve"> », </w:t>
            </w:r>
            <w:proofErr w:type="spellStart"/>
            <w:r>
              <w:rPr>
                <w:sz w:val="18"/>
                <w:szCs w:val="18"/>
                <w:lang w:bidi="fr-FR"/>
              </w:rPr>
              <w:t>identifié·e·s</w:t>
            </w:r>
            <w:proofErr w:type="spellEnd"/>
            <w:r>
              <w:rPr>
                <w:sz w:val="18"/>
                <w:szCs w:val="18"/>
                <w:lang w:bidi="fr-FR"/>
              </w:rPr>
              <w:t xml:space="preserve"> et </w:t>
            </w:r>
            <w:proofErr w:type="spellStart"/>
            <w:r>
              <w:rPr>
                <w:sz w:val="18"/>
                <w:szCs w:val="18"/>
                <w:lang w:bidi="fr-FR"/>
              </w:rPr>
              <w:t>invité·e·s</w:t>
            </w:r>
            <w:proofErr w:type="spellEnd"/>
            <w:r>
              <w:rPr>
                <w:sz w:val="18"/>
                <w:szCs w:val="18"/>
                <w:lang w:bidi="fr-FR"/>
              </w:rPr>
              <w:t xml:space="preserve"> en visitant les groupes d</w:t>
            </w:r>
            <w:r w:rsidR="001E584B">
              <w:rPr>
                <w:sz w:val="18"/>
                <w:szCs w:val="18"/>
                <w:lang w:bidi="fr-FR"/>
              </w:rPr>
              <w:t>’</w:t>
            </w:r>
            <w:proofErr w:type="spellStart"/>
            <w:r>
              <w:rPr>
                <w:sz w:val="18"/>
                <w:szCs w:val="18"/>
                <w:lang w:bidi="fr-FR"/>
              </w:rPr>
              <w:t>enseignant·e·s</w:t>
            </w:r>
            <w:proofErr w:type="spellEnd"/>
            <w:r>
              <w:rPr>
                <w:sz w:val="18"/>
                <w:szCs w:val="18"/>
                <w:lang w:bidi="fr-FR"/>
              </w:rPr>
              <w:t xml:space="preserve"> </w:t>
            </w:r>
            <w:proofErr w:type="spellStart"/>
            <w:r>
              <w:rPr>
                <w:sz w:val="18"/>
                <w:szCs w:val="18"/>
                <w:lang w:bidi="fr-FR"/>
              </w:rPr>
              <w:t>finlandais·es</w:t>
            </w:r>
            <w:proofErr w:type="spellEnd"/>
            <w:r>
              <w:rPr>
                <w:sz w:val="18"/>
                <w:szCs w:val="18"/>
                <w:lang w:bidi="fr-FR"/>
              </w:rPr>
              <w:t xml:space="preserve"> les plus populaires sur Facebook. Il a été demandé aux </w:t>
            </w:r>
            <w:proofErr w:type="spellStart"/>
            <w:r>
              <w:rPr>
                <w:sz w:val="18"/>
                <w:szCs w:val="18"/>
                <w:lang w:bidi="fr-FR"/>
              </w:rPr>
              <w:t>enseignant·e·s</w:t>
            </w:r>
            <w:proofErr w:type="spellEnd"/>
            <w:r>
              <w:rPr>
                <w:sz w:val="18"/>
                <w:szCs w:val="18"/>
                <w:lang w:bidi="fr-FR"/>
              </w:rPr>
              <w:t xml:space="preserve"> de tester et d</w:t>
            </w:r>
            <w:r w:rsidR="001E584B">
              <w:rPr>
                <w:sz w:val="18"/>
                <w:szCs w:val="18"/>
                <w:lang w:bidi="fr-FR"/>
              </w:rPr>
              <w:t>’</w:t>
            </w:r>
            <w:r>
              <w:rPr>
                <w:sz w:val="18"/>
                <w:szCs w:val="18"/>
                <w:lang w:bidi="fr-FR"/>
              </w:rPr>
              <w:t xml:space="preserve">améliorer le service. En quelques jours, </w:t>
            </w:r>
            <w:proofErr w:type="spellStart"/>
            <w:r>
              <w:rPr>
                <w:sz w:val="18"/>
                <w:szCs w:val="18"/>
                <w:lang w:bidi="fr-FR"/>
              </w:rPr>
              <w:t>il·elle·s</w:t>
            </w:r>
            <w:proofErr w:type="spellEnd"/>
            <w:r>
              <w:rPr>
                <w:sz w:val="18"/>
                <w:szCs w:val="18"/>
                <w:lang w:bidi="fr-FR"/>
              </w:rPr>
              <w:t xml:space="preserve"> ont lancé un nouveau service, </w:t>
            </w:r>
            <w:proofErr w:type="spellStart"/>
            <w:r>
              <w:rPr>
                <w:sz w:val="18"/>
                <w:szCs w:val="18"/>
                <w:lang w:bidi="fr-FR"/>
              </w:rPr>
              <w:t>Yle</w:t>
            </w:r>
            <w:proofErr w:type="spellEnd"/>
            <w:r>
              <w:rPr>
                <w:sz w:val="18"/>
                <w:szCs w:val="18"/>
                <w:lang w:bidi="fr-FR"/>
              </w:rPr>
              <w:t xml:space="preserve"> </w:t>
            </w:r>
            <w:proofErr w:type="spellStart"/>
            <w:r>
              <w:rPr>
                <w:sz w:val="18"/>
                <w:szCs w:val="18"/>
                <w:lang w:bidi="fr-FR"/>
              </w:rPr>
              <w:t>Etäkoulu</w:t>
            </w:r>
            <w:proofErr w:type="spellEnd"/>
            <w:r>
              <w:rPr>
                <w:sz w:val="18"/>
                <w:szCs w:val="18"/>
                <w:lang w:bidi="fr-FR"/>
              </w:rPr>
              <w:t xml:space="preserve"> (</w:t>
            </w:r>
            <w:proofErr w:type="spellStart"/>
            <w:r w:rsidR="00297AF9">
              <w:fldChar w:fldCharType="begin"/>
            </w:r>
            <w:r w:rsidR="00297AF9">
              <w:instrText xml:space="preserve"> HYPERLINK "https://</w:instrText>
            </w:r>
            <w:r w:rsidR="00297AF9">
              <w:instrText xml:space="preserve">oecdedutoday.com/wp-content/uploads/2020/05/Finland-Yle-Distant-School.pdf" </w:instrText>
            </w:r>
            <w:r w:rsidR="00297AF9">
              <w:fldChar w:fldCharType="separate"/>
            </w:r>
            <w:r w:rsidR="0076393A" w:rsidRPr="00F4274B">
              <w:rPr>
                <w:rStyle w:val="Hyperlink"/>
                <w:sz w:val="18"/>
                <w:szCs w:val="18"/>
                <w:lang w:bidi="fr-FR"/>
              </w:rPr>
              <w:t>Yle</w:t>
            </w:r>
            <w:proofErr w:type="spellEnd"/>
            <w:r w:rsidR="0076393A" w:rsidRPr="00F4274B">
              <w:rPr>
                <w:rStyle w:val="Hyperlink"/>
                <w:sz w:val="18"/>
                <w:szCs w:val="18"/>
                <w:lang w:bidi="fr-FR"/>
              </w:rPr>
              <w:t xml:space="preserve"> école à distance</w:t>
            </w:r>
            <w:r w:rsidR="00297AF9">
              <w:rPr>
                <w:rStyle w:val="Hyperlink"/>
                <w:sz w:val="18"/>
                <w:szCs w:val="18"/>
                <w:lang w:bidi="fr-FR"/>
              </w:rPr>
              <w:fldChar w:fldCharType="end"/>
            </w:r>
            <w:r>
              <w:rPr>
                <w:sz w:val="18"/>
                <w:szCs w:val="18"/>
                <w:lang w:bidi="fr-FR"/>
              </w:rPr>
              <w:t>), pour diffuser ces ressources pédagogiques. Les enseignant·e·</w:t>
            </w:r>
            <w:proofErr w:type="spellStart"/>
            <w:r>
              <w:rPr>
                <w:sz w:val="18"/>
                <w:szCs w:val="18"/>
                <w:lang w:bidi="fr-FR"/>
              </w:rPr>
              <w:t>s ont</w:t>
            </w:r>
            <w:proofErr w:type="spellEnd"/>
            <w:r>
              <w:rPr>
                <w:sz w:val="18"/>
                <w:szCs w:val="18"/>
                <w:lang w:bidi="fr-FR"/>
              </w:rPr>
              <w:t xml:space="preserve"> en permanence fourni des commentaires instantanés pour expliquer ce qu</w:t>
            </w:r>
            <w:r w:rsidR="001E584B">
              <w:rPr>
                <w:sz w:val="18"/>
                <w:szCs w:val="18"/>
                <w:lang w:bidi="fr-FR"/>
              </w:rPr>
              <w:t>’</w:t>
            </w:r>
            <w:proofErr w:type="spellStart"/>
            <w:r>
              <w:rPr>
                <w:sz w:val="18"/>
                <w:szCs w:val="18"/>
                <w:lang w:bidi="fr-FR"/>
              </w:rPr>
              <w:t>il·elle·s</w:t>
            </w:r>
            <w:proofErr w:type="spellEnd"/>
            <w:r>
              <w:rPr>
                <w:sz w:val="18"/>
                <w:szCs w:val="18"/>
                <w:lang w:bidi="fr-FR"/>
              </w:rPr>
              <w:t xml:space="preserve"> avaient compris ou pas, ce qui leur avait semblé utile ou ce qui leur avait manqué. La participation des </w:t>
            </w:r>
            <w:proofErr w:type="spellStart"/>
            <w:r>
              <w:rPr>
                <w:sz w:val="18"/>
                <w:szCs w:val="18"/>
                <w:lang w:bidi="fr-FR"/>
              </w:rPr>
              <w:t>enseignant·e·s</w:t>
            </w:r>
            <w:proofErr w:type="spellEnd"/>
            <w:r>
              <w:rPr>
                <w:sz w:val="18"/>
                <w:szCs w:val="18"/>
                <w:lang w:bidi="fr-FR"/>
              </w:rPr>
              <w:t xml:space="preserve"> à la définition du programme télévisé a permis de continuellement l</w:t>
            </w:r>
            <w:r w:rsidR="001E584B">
              <w:rPr>
                <w:sz w:val="18"/>
                <w:szCs w:val="18"/>
                <w:lang w:bidi="fr-FR"/>
              </w:rPr>
              <w:t>’</w:t>
            </w:r>
            <w:r>
              <w:rPr>
                <w:sz w:val="18"/>
                <w:szCs w:val="18"/>
                <w:lang w:bidi="fr-FR"/>
              </w:rPr>
              <w:t>améliorer et de renforcer sa pertinence. En Corée, après consultation du ministère de la Culture, des Sports et du Tourisme, le gouvernement a assoupli temporairement les règles en matière de droits d</w:t>
            </w:r>
            <w:r w:rsidR="001E584B">
              <w:rPr>
                <w:sz w:val="18"/>
                <w:szCs w:val="18"/>
                <w:lang w:bidi="fr-FR"/>
              </w:rPr>
              <w:t>’</w:t>
            </w:r>
            <w:r>
              <w:rPr>
                <w:sz w:val="18"/>
                <w:szCs w:val="18"/>
                <w:lang w:bidi="fr-FR"/>
              </w:rPr>
              <w:t xml:space="preserve">auteur pour permettre aux </w:t>
            </w:r>
            <w:proofErr w:type="spellStart"/>
            <w:r>
              <w:rPr>
                <w:sz w:val="18"/>
                <w:szCs w:val="18"/>
                <w:lang w:bidi="fr-FR"/>
              </w:rPr>
              <w:t>enseignant·e·s</w:t>
            </w:r>
            <w:proofErr w:type="spellEnd"/>
            <w:r>
              <w:rPr>
                <w:sz w:val="18"/>
                <w:szCs w:val="18"/>
                <w:lang w:bidi="fr-FR"/>
              </w:rPr>
              <w:t xml:space="preserve"> de produire des cours en ligne en s</w:t>
            </w:r>
            <w:r w:rsidR="001E584B">
              <w:rPr>
                <w:sz w:val="18"/>
                <w:szCs w:val="18"/>
                <w:lang w:bidi="fr-FR"/>
              </w:rPr>
              <w:t>’</w:t>
            </w:r>
            <w:r>
              <w:rPr>
                <w:sz w:val="18"/>
                <w:szCs w:val="18"/>
                <w:lang w:bidi="fr-FR"/>
              </w:rPr>
              <w:t>appuyant sur des contenus existants. Par ailleurs, un site web appelé « </w:t>
            </w:r>
            <w:proofErr w:type="spellStart"/>
            <w:r w:rsidR="00297AF9">
              <w:fldChar w:fldCharType="begin"/>
            </w:r>
            <w:r w:rsidR="00297AF9">
              <w:instrText xml:space="preserve"> HYPERLINK "https://www.mofa.go.kr/eng/brd/m_22591/view.do?seq=35&amp;srchFr=&amp;srchTo=&amp;srchWord=&amp;srchTp=&amp;multi_itm_seq=0&amp;itm_seq_1=0&amp;itm_seq_2=0&amp;company_cd=&amp;company_nm=&amp;page=1&amp;titleNm=" </w:instrText>
            </w:r>
            <w:r w:rsidR="00297AF9">
              <w:fldChar w:fldCharType="separate"/>
            </w:r>
            <w:r w:rsidRPr="00F4274B">
              <w:rPr>
                <w:rStyle w:val="Hyperlink"/>
                <w:sz w:val="18"/>
                <w:szCs w:val="18"/>
                <w:lang w:bidi="fr-FR"/>
              </w:rPr>
              <w:t>School</w:t>
            </w:r>
            <w:proofErr w:type="spellEnd"/>
            <w:r w:rsidRPr="00F4274B">
              <w:rPr>
                <w:rStyle w:val="Hyperlink"/>
                <w:sz w:val="18"/>
                <w:szCs w:val="18"/>
                <w:lang w:bidi="fr-FR"/>
              </w:rPr>
              <w:t>-On</w:t>
            </w:r>
            <w:r w:rsidR="00297AF9">
              <w:rPr>
                <w:rStyle w:val="Hyperlink"/>
                <w:sz w:val="18"/>
                <w:szCs w:val="18"/>
                <w:lang w:bidi="fr-FR"/>
              </w:rPr>
              <w:fldChar w:fldCharType="end"/>
            </w:r>
            <w:r>
              <w:rPr>
                <w:sz w:val="18"/>
                <w:szCs w:val="18"/>
                <w:lang w:bidi="fr-FR"/>
              </w:rPr>
              <w:t xml:space="preserve"> » a été créé pour mettre à </w:t>
            </w:r>
            <w:r w:rsidR="000D6415">
              <w:rPr>
                <w:sz w:val="18"/>
                <w:szCs w:val="18"/>
                <w:lang w:bidi="fr-FR"/>
              </w:rPr>
              <w:t xml:space="preserve">la </w:t>
            </w:r>
            <w:r>
              <w:rPr>
                <w:sz w:val="18"/>
                <w:szCs w:val="18"/>
                <w:lang w:bidi="fr-FR"/>
              </w:rPr>
              <w:t xml:space="preserve">disposition des </w:t>
            </w:r>
            <w:proofErr w:type="spellStart"/>
            <w:r>
              <w:rPr>
                <w:sz w:val="18"/>
                <w:szCs w:val="18"/>
                <w:lang w:bidi="fr-FR"/>
              </w:rPr>
              <w:t>enseignant·e·s</w:t>
            </w:r>
            <w:proofErr w:type="spellEnd"/>
            <w:r>
              <w:rPr>
                <w:sz w:val="18"/>
                <w:szCs w:val="18"/>
                <w:lang w:bidi="fr-FR"/>
              </w:rPr>
              <w:t xml:space="preserve"> une plateforme leur permettant d</w:t>
            </w:r>
            <w:r w:rsidR="001E584B">
              <w:rPr>
                <w:sz w:val="18"/>
                <w:szCs w:val="18"/>
                <w:lang w:bidi="fr-FR"/>
              </w:rPr>
              <w:t>’</w:t>
            </w:r>
            <w:r>
              <w:rPr>
                <w:sz w:val="18"/>
                <w:szCs w:val="18"/>
                <w:lang w:bidi="fr-FR"/>
              </w:rPr>
              <w:t xml:space="preserve">échanger et partager des informations scolaires et des cours en ligne créés par </w:t>
            </w:r>
            <w:proofErr w:type="spellStart"/>
            <w:r>
              <w:rPr>
                <w:sz w:val="18"/>
                <w:szCs w:val="18"/>
                <w:lang w:bidi="fr-FR"/>
              </w:rPr>
              <w:t>eux·elles-mêmes</w:t>
            </w:r>
            <w:proofErr w:type="spellEnd"/>
            <w:r>
              <w:rPr>
                <w:sz w:val="18"/>
                <w:szCs w:val="18"/>
                <w:lang w:bidi="fr-FR"/>
              </w:rPr>
              <w:t xml:space="preserve">. 58,4 % des contenus ont été créés par des </w:t>
            </w:r>
            <w:proofErr w:type="spellStart"/>
            <w:r>
              <w:rPr>
                <w:sz w:val="18"/>
                <w:szCs w:val="18"/>
                <w:lang w:bidi="fr-FR"/>
              </w:rPr>
              <w:t>enseignant·e·s</w:t>
            </w:r>
            <w:proofErr w:type="spellEnd"/>
            <w:r>
              <w:rPr>
                <w:sz w:val="18"/>
                <w:szCs w:val="18"/>
                <w:lang w:bidi="fr-FR"/>
              </w:rPr>
              <w:t>.</w:t>
            </w:r>
          </w:p>
          <w:p w14:paraId="3C55ECAB" w14:textId="0D0C23AD" w:rsidR="0076393A" w:rsidRDefault="0076393A" w:rsidP="00BB3142">
            <w:pPr>
              <w:pStyle w:val="Para"/>
              <w:rPr>
                <w:sz w:val="18"/>
                <w:szCs w:val="18"/>
              </w:rPr>
            </w:pPr>
            <w:r w:rsidRPr="0076393A">
              <w:rPr>
                <w:sz w:val="18"/>
                <w:szCs w:val="18"/>
                <w:lang w:bidi="fr-FR"/>
              </w:rPr>
              <w:t xml:space="preserve">Les </w:t>
            </w:r>
            <w:proofErr w:type="spellStart"/>
            <w:r w:rsidRPr="0076393A">
              <w:rPr>
                <w:sz w:val="18"/>
                <w:szCs w:val="18"/>
                <w:lang w:bidi="fr-FR"/>
              </w:rPr>
              <w:t>edcamps</w:t>
            </w:r>
            <w:proofErr w:type="spellEnd"/>
            <w:r w:rsidRPr="0076393A">
              <w:rPr>
                <w:sz w:val="18"/>
                <w:szCs w:val="18"/>
                <w:lang w:bidi="fr-FR"/>
              </w:rPr>
              <w:t xml:space="preserve"> qui, organisés bénévolement par des </w:t>
            </w:r>
            <w:proofErr w:type="spellStart"/>
            <w:r w:rsidRPr="0076393A">
              <w:rPr>
                <w:sz w:val="18"/>
                <w:szCs w:val="18"/>
                <w:lang w:bidi="fr-FR"/>
              </w:rPr>
              <w:t>enseignant·e·s</w:t>
            </w:r>
            <w:proofErr w:type="spellEnd"/>
            <w:r w:rsidRPr="0076393A">
              <w:rPr>
                <w:sz w:val="18"/>
                <w:szCs w:val="18"/>
                <w:lang w:bidi="fr-FR"/>
              </w:rPr>
              <w:t xml:space="preserve">, leur permettent de mener leurs propres expériences de formation, offrent un exemple du type de développement professionnel qui a vu le jour durant la pandémie. Ils reposent sur le principe selon lequel les </w:t>
            </w:r>
            <w:proofErr w:type="spellStart"/>
            <w:r w:rsidRPr="0076393A">
              <w:rPr>
                <w:sz w:val="18"/>
                <w:szCs w:val="18"/>
                <w:lang w:bidi="fr-FR"/>
              </w:rPr>
              <w:t>enseignant·e·s</w:t>
            </w:r>
            <w:proofErr w:type="spellEnd"/>
            <w:r w:rsidRPr="0076393A">
              <w:rPr>
                <w:sz w:val="18"/>
                <w:szCs w:val="18"/>
                <w:lang w:bidi="fr-FR"/>
              </w:rPr>
              <w:t xml:space="preserve"> peuvent apprendre </w:t>
            </w:r>
            <w:proofErr w:type="gramStart"/>
            <w:r w:rsidRPr="0076393A">
              <w:rPr>
                <w:sz w:val="18"/>
                <w:szCs w:val="18"/>
                <w:lang w:bidi="fr-FR"/>
              </w:rPr>
              <w:t xml:space="preserve">les </w:t>
            </w:r>
            <w:proofErr w:type="spellStart"/>
            <w:r w:rsidRPr="0076393A">
              <w:rPr>
                <w:sz w:val="18"/>
                <w:szCs w:val="18"/>
                <w:lang w:bidi="fr-FR"/>
              </w:rPr>
              <w:t>un</w:t>
            </w:r>
            <w:proofErr w:type="gramEnd"/>
            <w:r w:rsidRPr="0076393A">
              <w:rPr>
                <w:sz w:val="18"/>
                <w:szCs w:val="18"/>
                <w:lang w:bidi="fr-FR"/>
              </w:rPr>
              <w:t>·e·s</w:t>
            </w:r>
            <w:proofErr w:type="spellEnd"/>
            <w:r w:rsidRPr="0076393A">
              <w:rPr>
                <w:sz w:val="18"/>
                <w:szCs w:val="18"/>
                <w:lang w:bidi="fr-FR"/>
              </w:rPr>
              <w:t xml:space="preserve"> des autres pour renforcer leurs compétences professionnelles en vue d</w:t>
            </w:r>
            <w:r w:rsidR="001E584B">
              <w:rPr>
                <w:sz w:val="18"/>
                <w:szCs w:val="18"/>
                <w:lang w:bidi="fr-FR"/>
              </w:rPr>
              <w:t>’</w:t>
            </w:r>
            <w:r w:rsidRPr="0076393A">
              <w:rPr>
                <w:sz w:val="18"/>
                <w:szCs w:val="18"/>
                <w:lang w:bidi="fr-FR"/>
              </w:rPr>
              <w:t xml:space="preserve">améliorer les résultats de leurs élèves. Depuis mars 2020, les </w:t>
            </w:r>
            <w:proofErr w:type="spellStart"/>
            <w:r w:rsidRPr="0076393A">
              <w:rPr>
                <w:sz w:val="18"/>
                <w:szCs w:val="18"/>
                <w:lang w:bidi="fr-FR"/>
              </w:rPr>
              <w:t>edcamps</w:t>
            </w:r>
            <w:proofErr w:type="spellEnd"/>
            <w:r w:rsidRPr="0076393A">
              <w:rPr>
                <w:sz w:val="18"/>
                <w:szCs w:val="18"/>
                <w:lang w:bidi="fr-FR"/>
              </w:rPr>
              <w:t xml:space="preserve"> en ligne ont permis à un grand nombre d</w:t>
            </w:r>
            <w:r w:rsidR="001E584B">
              <w:rPr>
                <w:sz w:val="18"/>
                <w:szCs w:val="18"/>
                <w:lang w:bidi="fr-FR"/>
              </w:rPr>
              <w:t>’</w:t>
            </w:r>
            <w:proofErr w:type="spellStart"/>
            <w:r w:rsidRPr="0076393A">
              <w:rPr>
                <w:sz w:val="18"/>
                <w:szCs w:val="18"/>
                <w:lang w:bidi="fr-FR"/>
              </w:rPr>
              <w:t>enseignant·e·s</w:t>
            </w:r>
            <w:proofErr w:type="spellEnd"/>
            <w:r w:rsidRPr="0076393A">
              <w:rPr>
                <w:sz w:val="18"/>
                <w:szCs w:val="18"/>
                <w:lang w:bidi="fr-FR"/>
              </w:rPr>
              <w:t xml:space="preserve"> de partager et connaître leurs expériences de l</w:t>
            </w:r>
            <w:r w:rsidR="001E584B">
              <w:rPr>
                <w:sz w:val="18"/>
                <w:szCs w:val="18"/>
                <w:lang w:bidi="fr-FR"/>
              </w:rPr>
              <w:t>’</w:t>
            </w:r>
            <w:r w:rsidRPr="0076393A">
              <w:rPr>
                <w:sz w:val="18"/>
                <w:szCs w:val="18"/>
                <w:lang w:bidi="fr-FR"/>
              </w:rPr>
              <w:t xml:space="preserve">enseignement à distance durant la crise de la Covid-19, comme en </w:t>
            </w:r>
            <w:hyperlink r:id="rId31" w:history="1">
              <w:r w:rsidR="001577BA" w:rsidRPr="00E40657">
                <w:rPr>
                  <w:rStyle w:val="Hyperlink"/>
                  <w:sz w:val="18"/>
                  <w:szCs w:val="18"/>
                  <w:lang w:bidi="fr-FR"/>
                </w:rPr>
                <w:t>Ukraine</w:t>
              </w:r>
            </w:hyperlink>
            <w:r w:rsidRPr="0076393A">
              <w:rPr>
                <w:sz w:val="18"/>
                <w:szCs w:val="18"/>
                <w:lang w:bidi="fr-FR"/>
              </w:rPr>
              <w:t xml:space="preserve"> ou aux </w:t>
            </w:r>
            <w:hyperlink r:id="rId32" w:history="1">
              <w:r w:rsidR="001577BA" w:rsidRPr="00E40657">
                <w:rPr>
                  <w:rStyle w:val="Hyperlink"/>
                  <w:sz w:val="18"/>
                  <w:szCs w:val="18"/>
                  <w:lang w:bidi="fr-FR"/>
                </w:rPr>
                <w:t>États-Unis</w:t>
              </w:r>
            </w:hyperlink>
            <w:r w:rsidRPr="0076393A">
              <w:rPr>
                <w:sz w:val="18"/>
                <w:szCs w:val="18"/>
                <w:lang w:bidi="fr-FR"/>
              </w:rPr>
              <w:t xml:space="preserve">. </w:t>
            </w:r>
            <w:proofErr w:type="spellStart"/>
            <w:r w:rsidRPr="0076393A">
              <w:rPr>
                <w:sz w:val="18"/>
                <w:szCs w:val="18"/>
                <w:lang w:bidi="fr-FR"/>
              </w:rPr>
              <w:t>Edcamp</w:t>
            </w:r>
            <w:proofErr w:type="spellEnd"/>
            <w:r w:rsidRPr="0076393A">
              <w:rPr>
                <w:sz w:val="18"/>
                <w:szCs w:val="18"/>
                <w:lang w:bidi="fr-FR"/>
              </w:rPr>
              <w:t xml:space="preserve"> Ukraine a organisé un </w:t>
            </w:r>
            <w:proofErr w:type="spellStart"/>
            <w:r w:rsidRPr="0076393A">
              <w:rPr>
                <w:sz w:val="18"/>
                <w:szCs w:val="18"/>
                <w:lang w:bidi="fr-FR"/>
              </w:rPr>
              <w:t>edcamp</w:t>
            </w:r>
            <w:proofErr w:type="spellEnd"/>
            <w:r w:rsidRPr="0076393A">
              <w:rPr>
                <w:sz w:val="18"/>
                <w:szCs w:val="18"/>
                <w:lang w:bidi="fr-FR"/>
              </w:rPr>
              <w:t xml:space="preserve"> en ligne « High Five for Education ». Aux États-Unis, Digital Promise a organisé une série d</w:t>
            </w:r>
            <w:r w:rsidR="001E584B">
              <w:rPr>
                <w:sz w:val="18"/>
                <w:szCs w:val="18"/>
                <w:lang w:bidi="fr-FR"/>
              </w:rPr>
              <w:t>’</w:t>
            </w:r>
            <w:proofErr w:type="spellStart"/>
            <w:r w:rsidRPr="0076393A">
              <w:rPr>
                <w:sz w:val="18"/>
                <w:szCs w:val="18"/>
                <w:lang w:bidi="fr-FR"/>
              </w:rPr>
              <w:t>edcamps</w:t>
            </w:r>
            <w:proofErr w:type="spellEnd"/>
            <w:r w:rsidRPr="0076393A">
              <w:rPr>
                <w:sz w:val="18"/>
                <w:szCs w:val="18"/>
                <w:lang w:bidi="fr-FR"/>
              </w:rPr>
              <w:t xml:space="preserve"> en ligne sous le nom générique </w:t>
            </w:r>
            <w:proofErr w:type="spellStart"/>
            <w:r w:rsidRPr="0076393A">
              <w:rPr>
                <w:sz w:val="18"/>
                <w:szCs w:val="18"/>
                <w:lang w:bidi="fr-FR"/>
              </w:rPr>
              <w:t>Powerful</w:t>
            </w:r>
            <w:proofErr w:type="spellEnd"/>
            <w:r w:rsidRPr="0076393A">
              <w:rPr>
                <w:sz w:val="18"/>
                <w:szCs w:val="18"/>
                <w:lang w:bidi="fr-FR"/>
              </w:rPr>
              <w:t xml:space="preserve"> Learning at Home ». En Belgique néerlandophone, </w:t>
            </w:r>
            <w:hyperlink r:id="rId33" w:history="1">
              <w:proofErr w:type="spellStart"/>
              <w:r w:rsidR="001577BA" w:rsidRPr="00BB3142">
                <w:rPr>
                  <w:rStyle w:val="Hyperlink"/>
                  <w:sz w:val="18"/>
                  <w:szCs w:val="18"/>
                  <w:lang w:bidi="fr-FR"/>
                </w:rPr>
                <w:t>KlasCemens</w:t>
              </w:r>
              <w:proofErr w:type="spellEnd"/>
            </w:hyperlink>
            <w:r w:rsidRPr="0076393A">
              <w:rPr>
                <w:sz w:val="18"/>
                <w:szCs w:val="18"/>
                <w:lang w:bidi="fr-FR"/>
              </w:rPr>
              <w:t xml:space="preserve"> offre un bon exemple de réseau d</w:t>
            </w:r>
            <w:r w:rsidR="001E584B">
              <w:rPr>
                <w:sz w:val="18"/>
                <w:szCs w:val="18"/>
                <w:lang w:bidi="fr-FR"/>
              </w:rPr>
              <w:t>’</w:t>
            </w:r>
            <w:proofErr w:type="spellStart"/>
            <w:r w:rsidRPr="0076393A">
              <w:rPr>
                <w:sz w:val="18"/>
                <w:szCs w:val="18"/>
                <w:lang w:bidi="fr-FR"/>
              </w:rPr>
              <w:t>enseignant·e·s</w:t>
            </w:r>
            <w:proofErr w:type="spellEnd"/>
            <w:r w:rsidRPr="0076393A">
              <w:rPr>
                <w:sz w:val="18"/>
                <w:szCs w:val="18"/>
                <w:lang w:bidi="fr-FR"/>
              </w:rPr>
              <w:t xml:space="preserve"> soutenu par le gouvernement. Mis sur pied en 1998, il est conçu comme « une communauté créée pour et par </w:t>
            </w:r>
            <w:proofErr w:type="gramStart"/>
            <w:r w:rsidRPr="0076393A">
              <w:rPr>
                <w:sz w:val="18"/>
                <w:szCs w:val="18"/>
                <w:lang w:bidi="fr-FR"/>
              </w:rPr>
              <w:t xml:space="preserve">les </w:t>
            </w:r>
            <w:proofErr w:type="spellStart"/>
            <w:r w:rsidRPr="0076393A">
              <w:rPr>
                <w:sz w:val="18"/>
                <w:szCs w:val="18"/>
                <w:lang w:bidi="fr-FR"/>
              </w:rPr>
              <w:t>enseignant</w:t>
            </w:r>
            <w:proofErr w:type="gramEnd"/>
            <w:r w:rsidRPr="0076393A">
              <w:rPr>
                <w:sz w:val="18"/>
                <w:szCs w:val="18"/>
                <w:lang w:bidi="fr-FR"/>
              </w:rPr>
              <w:t>·e·s</w:t>
            </w:r>
            <w:proofErr w:type="spellEnd"/>
            <w:r w:rsidRPr="0076393A">
              <w:rPr>
                <w:sz w:val="18"/>
                <w:szCs w:val="18"/>
                <w:lang w:bidi="fr-FR"/>
              </w:rPr>
              <w:t> », s</w:t>
            </w:r>
            <w:r w:rsidR="001E584B">
              <w:rPr>
                <w:sz w:val="18"/>
                <w:szCs w:val="18"/>
                <w:lang w:bidi="fr-FR"/>
              </w:rPr>
              <w:t>’</w:t>
            </w:r>
            <w:r w:rsidRPr="0076393A">
              <w:rPr>
                <w:sz w:val="18"/>
                <w:szCs w:val="18"/>
                <w:lang w:bidi="fr-FR"/>
              </w:rPr>
              <w:t xml:space="preserve">adressant aux </w:t>
            </w:r>
            <w:proofErr w:type="spellStart"/>
            <w:r w:rsidRPr="0076393A">
              <w:rPr>
                <w:sz w:val="18"/>
                <w:szCs w:val="18"/>
                <w:lang w:bidi="fr-FR"/>
              </w:rPr>
              <w:t>enseignant·e·s</w:t>
            </w:r>
            <w:proofErr w:type="spellEnd"/>
            <w:r w:rsidRPr="0076393A">
              <w:rPr>
                <w:sz w:val="18"/>
                <w:szCs w:val="18"/>
                <w:lang w:bidi="fr-FR"/>
              </w:rPr>
              <w:t xml:space="preserve"> de tous les niveaux de l</w:t>
            </w:r>
            <w:r w:rsidR="001E584B">
              <w:rPr>
                <w:sz w:val="18"/>
                <w:szCs w:val="18"/>
                <w:lang w:bidi="fr-FR"/>
              </w:rPr>
              <w:t>’</w:t>
            </w:r>
            <w:r w:rsidRPr="0076393A">
              <w:rPr>
                <w:sz w:val="18"/>
                <w:szCs w:val="18"/>
                <w:lang w:bidi="fr-FR"/>
              </w:rPr>
              <w:t xml:space="preserve">éducation, y compris la formation des adultes et les centres de formation des </w:t>
            </w:r>
            <w:proofErr w:type="spellStart"/>
            <w:r w:rsidRPr="0076393A">
              <w:rPr>
                <w:sz w:val="18"/>
                <w:szCs w:val="18"/>
                <w:lang w:bidi="fr-FR"/>
              </w:rPr>
              <w:t>futur·e·s</w:t>
            </w:r>
            <w:proofErr w:type="spellEnd"/>
            <w:r w:rsidRPr="0076393A">
              <w:rPr>
                <w:sz w:val="18"/>
                <w:szCs w:val="18"/>
                <w:lang w:bidi="fr-FR"/>
              </w:rPr>
              <w:t xml:space="preserve"> </w:t>
            </w:r>
            <w:proofErr w:type="spellStart"/>
            <w:r w:rsidRPr="0076393A">
              <w:rPr>
                <w:sz w:val="18"/>
                <w:szCs w:val="18"/>
                <w:lang w:bidi="fr-FR"/>
              </w:rPr>
              <w:t>enseignant·e·s</w:t>
            </w:r>
            <w:proofErr w:type="spellEnd"/>
            <w:r w:rsidRPr="0076393A">
              <w:rPr>
                <w:sz w:val="18"/>
                <w:szCs w:val="18"/>
                <w:lang w:bidi="fr-FR"/>
              </w:rPr>
              <w:t xml:space="preserve">. Un projet similaire, une plateforme créée pour et par </w:t>
            </w:r>
            <w:proofErr w:type="gramStart"/>
            <w:r w:rsidRPr="0076393A">
              <w:rPr>
                <w:sz w:val="18"/>
                <w:szCs w:val="18"/>
                <w:lang w:bidi="fr-FR"/>
              </w:rPr>
              <w:t xml:space="preserve">les </w:t>
            </w:r>
            <w:proofErr w:type="spellStart"/>
            <w:r w:rsidRPr="0076393A">
              <w:rPr>
                <w:sz w:val="18"/>
                <w:szCs w:val="18"/>
                <w:lang w:bidi="fr-FR"/>
              </w:rPr>
              <w:t>enseignant</w:t>
            </w:r>
            <w:proofErr w:type="gramEnd"/>
            <w:r w:rsidRPr="0076393A">
              <w:rPr>
                <w:sz w:val="18"/>
                <w:szCs w:val="18"/>
                <w:lang w:bidi="fr-FR"/>
              </w:rPr>
              <w:t>·e·s</w:t>
            </w:r>
            <w:proofErr w:type="spellEnd"/>
            <w:r w:rsidRPr="0076393A">
              <w:rPr>
                <w:sz w:val="18"/>
                <w:szCs w:val="18"/>
                <w:lang w:bidi="fr-FR"/>
              </w:rPr>
              <w:t>, a été lancé en Angleterre, au Royaume-Uni (</w:t>
            </w:r>
            <w:hyperlink r:id="rId34" w:history="1">
              <w:r w:rsidR="001577BA" w:rsidRPr="00F4274B">
                <w:rPr>
                  <w:rStyle w:val="Hyperlink"/>
                  <w:sz w:val="18"/>
                  <w:szCs w:val="18"/>
                  <w:lang w:bidi="fr-FR"/>
                </w:rPr>
                <w:t xml:space="preserve">National </w:t>
              </w:r>
              <w:proofErr w:type="spellStart"/>
              <w:r w:rsidR="001577BA" w:rsidRPr="00F4274B">
                <w:rPr>
                  <w:rStyle w:val="Hyperlink"/>
                  <w:sz w:val="18"/>
                  <w:szCs w:val="18"/>
                  <w:lang w:bidi="fr-FR"/>
                </w:rPr>
                <w:t>Oak</w:t>
              </w:r>
              <w:proofErr w:type="spellEnd"/>
              <w:r w:rsidR="001577BA" w:rsidRPr="00F4274B">
                <w:rPr>
                  <w:rStyle w:val="Hyperlink"/>
                  <w:sz w:val="18"/>
                  <w:szCs w:val="18"/>
                  <w:lang w:bidi="fr-FR"/>
                </w:rPr>
                <w:t xml:space="preserve"> </w:t>
              </w:r>
              <w:proofErr w:type="spellStart"/>
              <w:r w:rsidR="001577BA" w:rsidRPr="00F4274B">
                <w:rPr>
                  <w:rStyle w:val="Hyperlink"/>
                  <w:sz w:val="18"/>
                  <w:szCs w:val="18"/>
                  <w:lang w:bidi="fr-FR"/>
                </w:rPr>
                <w:t>Academy</w:t>
              </w:r>
              <w:proofErr w:type="spellEnd"/>
            </w:hyperlink>
            <w:r w:rsidR="00935246">
              <w:rPr>
                <w:rStyle w:val="Hyperlink"/>
                <w:sz w:val="18"/>
                <w:szCs w:val="18"/>
                <w:lang w:bidi="fr-FR"/>
              </w:rPr>
              <w:t>)</w:t>
            </w:r>
            <w:r w:rsidRPr="0076393A">
              <w:rPr>
                <w:sz w:val="18"/>
                <w:szCs w:val="18"/>
                <w:lang w:bidi="fr-FR"/>
              </w:rPr>
              <w:t xml:space="preserve"> et en Corée (</w:t>
            </w:r>
            <w:proofErr w:type="spellStart"/>
            <w:r w:rsidR="00297AF9">
              <w:fldChar w:fldCharType="begin"/>
            </w:r>
            <w:r w:rsidR="00297AF9">
              <w:instrText xml:space="preserve"> HYPERLINK "https://daily.gegdaegu.org/" </w:instrText>
            </w:r>
            <w:r w:rsidR="00297AF9">
              <w:fldChar w:fldCharType="separate"/>
            </w:r>
            <w:r w:rsidR="00F4274B" w:rsidRPr="00F4274B">
              <w:rPr>
                <w:rStyle w:val="Hyperlink"/>
                <w:sz w:val="18"/>
                <w:szCs w:val="18"/>
                <w:lang w:bidi="fr-FR"/>
              </w:rPr>
              <w:t>Let</w:t>
            </w:r>
            <w:r w:rsidR="001E584B">
              <w:rPr>
                <w:rStyle w:val="Hyperlink"/>
                <w:sz w:val="18"/>
                <w:szCs w:val="18"/>
                <w:lang w:bidi="fr-FR"/>
              </w:rPr>
              <w:t>’</w:t>
            </w:r>
            <w:r w:rsidR="00F4274B" w:rsidRPr="00F4274B">
              <w:rPr>
                <w:rStyle w:val="Hyperlink"/>
                <w:sz w:val="18"/>
                <w:szCs w:val="18"/>
                <w:lang w:bidi="fr-FR"/>
              </w:rPr>
              <w:t>s</w:t>
            </w:r>
            <w:proofErr w:type="spellEnd"/>
            <w:r w:rsidR="00F4274B" w:rsidRPr="00F4274B">
              <w:rPr>
                <w:rStyle w:val="Hyperlink"/>
                <w:sz w:val="18"/>
                <w:szCs w:val="18"/>
                <w:lang w:bidi="fr-FR"/>
              </w:rPr>
              <w:t xml:space="preserve"> Go to </w:t>
            </w:r>
            <w:proofErr w:type="spellStart"/>
            <w:r w:rsidR="00F4274B" w:rsidRPr="00F4274B">
              <w:rPr>
                <w:rStyle w:val="Hyperlink"/>
                <w:sz w:val="18"/>
                <w:szCs w:val="18"/>
                <w:lang w:bidi="fr-FR"/>
              </w:rPr>
              <w:t>School</w:t>
            </w:r>
            <w:proofErr w:type="spellEnd"/>
            <w:r w:rsidR="00297AF9">
              <w:rPr>
                <w:rStyle w:val="Hyperlink"/>
                <w:sz w:val="18"/>
                <w:szCs w:val="18"/>
                <w:lang w:bidi="fr-FR"/>
              </w:rPr>
              <w:fldChar w:fldCharType="end"/>
            </w:r>
            <w:r w:rsidRPr="0076393A">
              <w:rPr>
                <w:sz w:val="18"/>
                <w:szCs w:val="18"/>
                <w:lang w:bidi="fr-FR"/>
              </w:rPr>
              <w:t>). Ce modèle continuera à jouer un rôle prépondérant dans le cadre de la reprise.</w:t>
            </w:r>
          </w:p>
          <w:p w14:paraId="5103B402" w14:textId="1B328D88" w:rsidR="0076393A" w:rsidRDefault="00FD488C" w:rsidP="00BB3142">
            <w:pPr>
              <w:pStyle w:val="Para"/>
              <w:rPr>
                <w:sz w:val="18"/>
                <w:szCs w:val="18"/>
              </w:rPr>
            </w:pPr>
            <w:r>
              <w:rPr>
                <w:sz w:val="18"/>
                <w:szCs w:val="18"/>
                <w:lang w:bidi="fr-FR"/>
              </w:rPr>
              <w:t>Durant la pandémie, les parents ont davantage participé à l</w:t>
            </w:r>
            <w:r w:rsidR="001E584B">
              <w:rPr>
                <w:sz w:val="18"/>
                <w:szCs w:val="18"/>
                <w:lang w:bidi="fr-FR"/>
              </w:rPr>
              <w:t>’</w:t>
            </w:r>
            <w:r>
              <w:rPr>
                <w:sz w:val="18"/>
                <w:szCs w:val="18"/>
                <w:lang w:bidi="fr-FR"/>
              </w:rPr>
              <w:t>apprentissage scolaire de leurs enfants. De nombreuses initiatives ont reposé sur cette idée durant la pandémie. Ce fut notamment le cas pour l</w:t>
            </w:r>
            <w:r w:rsidR="001E584B">
              <w:rPr>
                <w:sz w:val="18"/>
                <w:szCs w:val="18"/>
                <w:lang w:bidi="fr-FR"/>
              </w:rPr>
              <w:t>’</w:t>
            </w:r>
            <w:r>
              <w:rPr>
                <w:sz w:val="18"/>
                <w:szCs w:val="18"/>
                <w:lang w:bidi="fr-FR"/>
              </w:rPr>
              <w:t xml:space="preserve">éducation de </w:t>
            </w:r>
            <w:r>
              <w:rPr>
                <w:sz w:val="18"/>
                <w:szCs w:val="18"/>
                <w:lang w:bidi="fr-FR"/>
              </w:rPr>
              <w:lastRenderedPageBreak/>
              <w:t xml:space="preserve">la petite enfance. À </w:t>
            </w:r>
            <w:hyperlink r:id="rId35" w:history="1">
              <w:r w:rsidR="00BB3142" w:rsidRPr="00BB3142">
                <w:rPr>
                  <w:rStyle w:val="Hyperlink"/>
                  <w:sz w:val="18"/>
                  <w:szCs w:val="18"/>
                  <w:lang w:bidi="fr-FR"/>
                </w:rPr>
                <w:t>Maranhão (Brésil)</w:t>
              </w:r>
            </w:hyperlink>
            <w:r>
              <w:rPr>
                <w:sz w:val="18"/>
                <w:szCs w:val="18"/>
                <w:lang w:bidi="fr-FR"/>
              </w:rPr>
              <w:t>, un programme d</w:t>
            </w:r>
            <w:r w:rsidR="001E584B">
              <w:rPr>
                <w:sz w:val="18"/>
                <w:szCs w:val="18"/>
                <w:lang w:bidi="fr-FR"/>
              </w:rPr>
              <w:t>’</w:t>
            </w:r>
            <w:r>
              <w:rPr>
                <w:sz w:val="18"/>
                <w:szCs w:val="18"/>
                <w:lang w:bidi="fr-FR"/>
              </w:rPr>
              <w:t>État a cherché à sensibiliser les parents en développant un programme d</w:t>
            </w:r>
            <w:r w:rsidR="001E584B">
              <w:rPr>
                <w:sz w:val="18"/>
                <w:szCs w:val="18"/>
                <w:lang w:bidi="fr-FR"/>
              </w:rPr>
              <w:t>’</w:t>
            </w:r>
            <w:r>
              <w:rPr>
                <w:sz w:val="18"/>
                <w:szCs w:val="18"/>
                <w:lang w:bidi="fr-FR"/>
              </w:rPr>
              <w:t>engagement familial proposant des idées concrètes pour encourager l</w:t>
            </w:r>
            <w:r w:rsidR="001E584B">
              <w:rPr>
                <w:sz w:val="18"/>
                <w:szCs w:val="18"/>
                <w:lang w:bidi="fr-FR"/>
              </w:rPr>
              <w:t>’</w:t>
            </w:r>
            <w:r>
              <w:rPr>
                <w:sz w:val="18"/>
                <w:szCs w:val="18"/>
                <w:lang w:bidi="fr-FR"/>
              </w:rPr>
              <w:t xml:space="preserve">apprentissage de leurs jeunes enfants en interagissant avec eux dans la vie quotidienne et durant les tâches ménagères. En Colombie, </w:t>
            </w:r>
            <w:hyperlink r:id="rId36" w:history="1">
              <w:proofErr w:type="spellStart"/>
              <w:r w:rsidR="0076393A" w:rsidRPr="00BB3142">
                <w:rPr>
                  <w:rStyle w:val="Hyperlink"/>
                  <w:sz w:val="18"/>
                  <w:szCs w:val="18"/>
                  <w:lang w:bidi="fr-FR"/>
                </w:rPr>
                <w:t>My</w:t>
              </w:r>
              <w:proofErr w:type="spellEnd"/>
              <w:r w:rsidR="0076393A" w:rsidRPr="00BB3142">
                <w:rPr>
                  <w:rStyle w:val="Hyperlink"/>
                  <w:sz w:val="18"/>
                  <w:szCs w:val="18"/>
                  <w:lang w:bidi="fr-FR"/>
                </w:rPr>
                <w:t xml:space="preserve"> Hands </w:t>
              </w:r>
              <w:proofErr w:type="spellStart"/>
              <w:r w:rsidR="0076393A" w:rsidRPr="00BB3142">
                <w:rPr>
                  <w:rStyle w:val="Hyperlink"/>
                  <w:sz w:val="18"/>
                  <w:szCs w:val="18"/>
                  <w:lang w:bidi="fr-FR"/>
                </w:rPr>
                <w:t>Teach</w:t>
              </w:r>
              <w:proofErr w:type="spellEnd"/>
              <w:r w:rsidR="0076393A" w:rsidRPr="00BB3142">
                <w:rPr>
                  <w:rStyle w:val="Hyperlink"/>
                  <w:sz w:val="18"/>
                  <w:szCs w:val="18"/>
                  <w:lang w:bidi="fr-FR"/>
                </w:rPr>
                <w:t xml:space="preserve"> You</w:t>
              </w:r>
            </w:hyperlink>
            <w:r>
              <w:rPr>
                <w:sz w:val="18"/>
                <w:szCs w:val="18"/>
                <w:lang w:bidi="fr-FR"/>
              </w:rPr>
              <w:t xml:space="preserve"> offre un exemple de collaboration entre les services publics qui encouragent le développement holistique des jeunes enfants et qui prévoient des interventions pédagogiques, nutritionnelles, sanitaires et psychosociales. Ce programme s</w:t>
            </w:r>
            <w:r w:rsidR="001E584B">
              <w:rPr>
                <w:sz w:val="18"/>
                <w:szCs w:val="18"/>
                <w:lang w:bidi="fr-FR"/>
              </w:rPr>
              <w:t>’</w:t>
            </w:r>
            <w:r>
              <w:rPr>
                <w:sz w:val="18"/>
                <w:szCs w:val="18"/>
                <w:lang w:bidi="fr-FR"/>
              </w:rPr>
              <w:t>adresse à toutes les familles ayant à leur charge des enfants vulnérables âgés de 0 à 5 ans (et aux femmes enceintes), via une approche multimodale allant de panneaux d</w:t>
            </w:r>
            <w:r w:rsidR="001E584B">
              <w:rPr>
                <w:sz w:val="18"/>
                <w:szCs w:val="18"/>
                <w:lang w:bidi="fr-FR"/>
              </w:rPr>
              <w:t>’</w:t>
            </w:r>
            <w:r>
              <w:rPr>
                <w:sz w:val="18"/>
                <w:szCs w:val="18"/>
                <w:lang w:bidi="fr-FR"/>
              </w:rPr>
              <w:t xml:space="preserve">affichage aux ressources en ligne, en accordant la priorité à celles qui en ont le plus besoin. Aux États-Unis, la plateforme </w:t>
            </w:r>
            <w:hyperlink r:id="rId37" w:history="1">
              <w:r w:rsidR="0076393A" w:rsidRPr="00BB3142">
                <w:rPr>
                  <w:rStyle w:val="Hyperlink"/>
                  <w:sz w:val="18"/>
                  <w:szCs w:val="18"/>
                  <w:lang w:bidi="fr-FR"/>
                </w:rPr>
                <w:t xml:space="preserve">Wide Open </w:t>
              </w:r>
              <w:proofErr w:type="spellStart"/>
              <w:r w:rsidR="0076393A" w:rsidRPr="00BB3142">
                <w:rPr>
                  <w:rStyle w:val="Hyperlink"/>
                  <w:sz w:val="18"/>
                  <w:szCs w:val="18"/>
                  <w:lang w:bidi="fr-FR"/>
                </w:rPr>
                <w:t>School</w:t>
              </w:r>
              <w:proofErr w:type="spellEnd"/>
            </w:hyperlink>
            <w:r>
              <w:rPr>
                <w:sz w:val="18"/>
                <w:szCs w:val="18"/>
                <w:lang w:bidi="fr-FR"/>
              </w:rPr>
              <w:t xml:space="preserve"> a offert aux </w:t>
            </w:r>
            <w:proofErr w:type="spellStart"/>
            <w:r>
              <w:rPr>
                <w:sz w:val="18"/>
                <w:szCs w:val="18"/>
                <w:lang w:bidi="fr-FR"/>
              </w:rPr>
              <w:t>éducateur·rice·s</w:t>
            </w:r>
            <w:proofErr w:type="spellEnd"/>
            <w:r>
              <w:rPr>
                <w:sz w:val="18"/>
                <w:szCs w:val="18"/>
                <w:lang w:bidi="fr-FR"/>
              </w:rPr>
              <w:t xml:space="preserve"> et aux familles des ressources visant à développer les compétences techniques disciplinaires, mais aussi la créativité, l</w:t>
            </w:r>
            <w:r w:rsidR="001E584B">
              <w:rPr>
                <w:sz w:val="18"/>
                <w:szCs w:val="18"/>
                <w:lang w:bidi="fr-FR"/>
              </w:rPr>
              <w:t>’</w:t>
            </w:r>
            <w:r>
              <w:rPr>
                <w:sz w:val="18"/>
                <w:szCs w:val="18"/>
                <w:lang w:bidi="fr-FR"/>
              </w:rPr>
              <w:t>esprit critique et les compétences socio-émotionnelles à tous les niveaux, tandis que d</w:t>
            </w:r>
            <w:r w:rsidR="001E584B">
              <w:rPr>
                <w:sz w:val="18"/>
                <w:szCs w:val="18"/>
                <w:lang w:bidi="fr-FR"/>
              </w:rPr>
              <w:t>’</w:t>
            </w:r>
            <w:r>
              <w:rPr>
                <w:sz w:val="18"/>
                <w:szCs w:val="18"/>
                <w:lang w:bidi="fr-FR"/>
              </w:rPr>
              <w:t>autres se sont limitées à soutenir les activités d</w:t>
            </w:r>
            <w:r w:rsidR="001E584B">
              <w:rPr>
                <w:sz w:val="18"/>
                <w:szCs w:val="18"/>
                <w:lang w:bidi="fr-FR"/>
              </w:rPr>
              <w:t>’</w:t>
            </w:r>
            <w:r>
              <w:rPr>
                <w:sz w:val="18"/>
                <w:szCs w:val="18"/>
                <w:lang w:bidi="fr-FR"/>
              </w:rPr>
              <w:t>apprentissage familiales et informelles. Outre le fait d</w:t>
            </w:r>
            <w:r w:rsidR="001E584B">
              <w:rPr>
                <w:sz w:val="18"/>
                <w:szCs w:val="18"/>
                <w:lang w:bidi="fr-FR"/>
              </w:rPr>
              <w:t>’</w:t>
            </w:r>
            <w:r>
              <w:rPr>
                <w:sz w:val="18"/>
                <w:szCs w:val="18"/>
                <w:lang w:bidi="fr-FR"/>
              </w:rPr>
              <w:t>offrir un accès à des ressources sélectionnées, la plateforme propose également un calendrier quotidien pour aider les élèves et les familles à équilibrer leurs activités.</w:t>
            </w:r>
          </w:p>
          <w:p w14:paraId="554C8444" w14:textId="0AABC89D" w:rsidR="001577BA" w:rsidRDefault="001577BA" w:rsidP="0076393A">
            <w:pPr>
              <w:pStyle w:val="Para"/>
              <w:rPr>
                <w:sz w:val="18"/>
                <w:szCs w:val="18"/>
              </w:rPr>
            </w:pPr>
            <w:r>
              <w:rPr>
                <w:sz w:val="18"/>
                <w:szCs w:val="18"/>
                <w:lang w:bidi="fr-FR"/>
              </w:rPr>
              <w:t xml:space="preserve">Le programme de tutorat anglais </w:t>
            </w:r>
            <w:hyperlink r:id="rId38" w:history="1">
              <w:r w:rsidRPr="00BB3142">
                <w:rPr>
                  <w:rStyle w:val="Hyperlink"/>
                  <w:sz w:val="18"/>
                  <w:szCs w:val="18"/>
                  <w:lang w:bidi="fr-FR"/>
                </w:rPr>
                <w:t xml:space="preserve">National </w:t>
              </w:r>
              <w:proofErr w:type="spellStart"/>
              <w:r w:rsidRPr="00BB3142">
                <w:rPr>
                  <w:rStyle w:val="Hyperlink"/>
                  <w:sz w:val="18"/>
                  <w:szCs w:val="18"/>
                  <w:lang w:bidi="fr-FR"/>
                </w:rPr>
                <w:t>Tutoring</w:t>
              </w:r>
              <w:proofErr w:type="spellEnd"/>
              <w:r w:rsidRPr="00BB3142">
                <w:rPr>
                  <w:rStyle w:val="Hyperlink"/>
                  <w:sz w:val="18"/>
                  <w:szCs w:val="18"/>
                  <w:lang w:bidi="fr-FR"/>
                </w:rPr>
                <w:t xml:space="preserve"> Programme</w:t>
              </w:r>
            </w:hyperlink>
            <w:r>
              <w:rPr>
                <w:sz w:val="18"/>
                <w:szCs w:val="18"/>
                <w:lang w:bidi="fr-FR"/>
              </w:rPr>
              <w:t>, qui aide les écoles à engager des équipes d</w:t>
            </w:r>
            <w:r w:rsidR="001E584B">
              <w:rPr>
                <w:sz w:val="18"/>
                <w:szCs w:val="18"/>
                <w:lang w:bidi="fr-FR"/>
              </w:rPr>
              <w:t>’</w:t>
            </w:r>
            <w:r>
              <w:rPr>
                <w:sz w:val="18"/>
                <w:szCs w:val="18"/>
                <w:lang w:bidi="fr-FR"/>
              </w:rPr>
              <w:t>accompagnement pour apporter un soutien intensif à leurs élèves, a pour objectif de rattraper les retards d</w:t>
            </w:r>
            <w:r w:rsidR="001E584B">
              <w:rPr>
                <w:sz w:val="18"/>
                <w:szCs w:val="18"/>
                <w:lang w:bidi="fr-FR"/>
              </w:rPr>
              <w:t>’</w:t>
            </w:r>
            <w:r>
              <w:rPr>
                <w:sz w:val="18"/>
                <w:szCs w:val="18"/>
                <w:lang w:bidi="fr-FR"/>
              </w:rPr>
              <w:t xml:space="preserve">apprentissage. Les partenaires sont </w:t>
            </w:r>
            <w:proofErr w:type="spellStart"/>
            <w:proofErr w:type="gramStart"/>
            <w:r>
              <w:rPr>
                <w:sz w:val="18"/>
                <w:szCs w:val="18"/>
                <w:lang w:bidi="fr-FR"/>
              </w:rPr>
              <w:t>accrédité</w:t>
            </w:r>
            <w:proofErr w:type="gramEnd"/>
            <w:r>
              <w:rPr>
                <w:sz w:val="18"/>
                <w:szCs w:val="18"/>
                <w:lang w:bidi="fr-FR"/>
              </w:rPr>
              <w:t>·e·s</w:t>
            </w:r>
            <w:proofErr w:type="spellEnd"/>
            <w:r>
              <w:rPr>
                <w:sz w:val="18"/>
                <w:szCs w:val="18"/>
                <w:lang w:bidi="fr-FR"/>
              </w:rPr>
              <w:t xml:space="preserve"> par le programme qui, tout en étant flexible dans sa mise en œuvre, s</w:t>
            </w:r>
            <w:r w:rsidR="001E584B">
              <w:rPr>
                <w:sz w:val="18"/>
                <w:szCs w:val="18"/>
                <w:lang w:bidi="fr-FR"/>
              </w:rPr>
              <w:t>’</w:t>
            </w:r>
            <w:r>
              <w:rPr>
                <w:sz w:val="18"/>
                <w:szCs w:val="18"/>
                <w:lang w:bidi="fr-FR"/>
              </w:rPr>
              <w:t>appuie sur des initiatives de tutorat précédentes ayant fait leurs preuves.</w:t>
            </w:r>
          </w:p>
          <w:p w14:paraId="5AE1DD83" w14:textId="7077C7CF" w:rsidR="0076393A" w:rsidRPr="003745F6" w:rsidRDefault="00FA5BD0" w:rsidP="003745F6">
            <w:pPr>
              <w:pStyle w:val="Para"/>
              <w:rPr>
                <w:sz w:val="18"/>
                <w:szCs w:val="18"/>
              </w:rPr>
            </w:pPr>
            <w:r>
              <w:rPr>
                <w:sz w:val="18"/>
                <w:szCs w:val="18"/>
                <w:lang w:bidi="fr-FR"/>
              </w:rPr>
              <w:t>Durant la première vague de la pandémie, la collecte de données statistiques représentatives et fiables concernant l</w:t>
            </w:r>
            <w:r w:rsidR="001E584B">
              <w:rPr>
                <w:sz w:val="18"/>
                <w:szCs w:val="18"/>
                <w:lang w:bidi="fr-FR"/>
              </w:rPr>
              <w:t>’</w:t>
            </w:r>
            <w:r>
              <w:rPr>
                <w:sz w:val="18"/>
                <w:szCs w:val="18"/>
                <w:lang w:bidi="fr-FR"/>
              </w:rPr>
              <w:t>éducation s</w:t>
            </w:r>
            <w:r w:rsidR="001E584B">
              <w:rPr>
                <w:sz w:val="18"/>
                <w:szCs w:val="18"/>
                <w:lang w:bidi="fr-FR"/>
              </w:rPr>
              <w:t>’</w:t>
            </w:r>
            <w:r>
              <w:rPr>
                <w:sz w:val="18"/>
                <w:szCs w:val="18"/>
                <w:lang w:bidi="fr-FR"/>
              </w:rPr>
              <w:t>est avérée étonnamment limitée. À la date du mois de mars 2021, la France, l</w:t>
            </w:r>
            <w:r w:rsidR="001E584B">
              <w:rPr>
                <w:sz w:val="18"/>
                <w:szCs w:val="18"/>
                <w:lang w:bidi="fr-FR"/>
              </w:rPr>
              <w:t>’</w:t>
            </w:r>
            <w:r>
              <w:rPr>
                <w:sz w:val="18"/>
                <w:szCs w:val="18"/>
                <w:lang w:bidi="fr-FR"/>
              </w:rPr>
              <w:t>Allemagne, l</w:t>
            </w:r>
            <w:r w:rsidR="001E584B">
              <w:rPr>
                <w:sz w:val="18"/>
                <w:szCs w:val="18"/>
                <w:lang w:bidi="fr-FR"/>
              </w:rPr>
              <w:t>’</w:t>
            </w:r>
            <w:r>
              <w:rPr>
                <w:sz w:val="18"/>
                <w:szCs w:val="18"/>
                <w:lang w:bidi="fr-FR"/>
              </w:rPr>
              <w:t>Irlande, le Royaume-Uni et les États-Unis semblaient être les seuls pays membres de l</w:t>
            </w:r>
            <w:r w:rsidR="001E584B">
              <w:rPr>
                <w:sz w:val="18"/>
                <w:szCs w:val="18"/>
                <w:lang w:bidi="fr-FR"/>
              </w:rPr>
              <w:t>’</w:t>
            </w:r>
            <w:r>
              <w:rPr>
                <w:sz w:val="18"/>
                <w:szCs w:val="18"/>
                <w:lang w:bidi="fr-FR"/>
              </w:rPr>
              <w:t>OCDE à avoir collecté suffisamment de données représentatives pour disposer d</w:t>
            </w:r>
            <w:r w:rsidR="001E584B">
              <w:rPr>
                <w:sz w:val="18"/>
                <w:szCs w:val="18"/>
                <w:lang w:bidi="fr-FR"/>
              </w:rPr>
              <w:t>’</w:t>
            </w:r>
            <w:r>
              <w:rPr>
                <w:sz w:val="18"/>
                <w:szCs w:val="18"/>
                <w:lang w:bidi="fr-FR"/>
              </w:rPr>
              <w:t>un aperçu général de l</w:t>
            </w:r>
            <w:r w:rsidR="001E584B">
              <w:rPr>
                <w:sz w:val="18"/>
                <w:szCs w:val="18"/>
                <w:lang w:bidi="fr-FR"/>
              </w:rPr>
              <w:t>’</w:t>
            </w:r>
            <w:r>
              <w:rPr>
                <w:sz w:val="18"/>
                <w:szCs w:val="18"/>
                <w:lang w:bidi="fr-FR"/>
              </w:rPr>
              <w:t>expérience éducative durant la pandémie. Il est à espérer que des informations plus fiables pourront être collectées concernant la deuxième vague et ses effets.</w:t>
            </w:r>
          </w:p>
        </w:tc>
      </w:tr>
    </w:tbl>
    <w:p w14:paraId="035770B1" w14:textId="342DDADD" w:rsidR="00175CA8" w:rsidRPr="00D3452E" w:rsidRDefault="00175CA8" w:rsidP="00802A87">
      <w:pPr>
        <w:pStyle w:val="Heading1"/>
        <w:framePr w:wrap="notBeside"/>
        <w:numPr>
          <w:ilvl w:val="0"/>
          <w:numId w:val="0"/>
        </w:numPr>
        <w:ind w:left="113"/>
      </w:pPr>
      <w:r w:rsidRPr="00D3452E">
        <w:rPr>
          <w:lang w:bidi="fr-FR"/>
        </w:rPr>
        <w:lastRenderedPageBreak/>
        <w:t>Une reprise en faveur d</w:t>
      </w:r>
      <w:r w:rsidR="001E584B">
        <w:rPr>
          <w:lang w:bidi="fr-FR"/>
        </w:rPr>
        <w:t>’</w:t>
      </w:r>
      <w:r w:rsidRPr="00D3452E">
        <w:rPr>
          <w:lang w:bidi="fr-FR"/>
        </w:rPr>
        <w:t>une éducation efficace et équitable</w:t>
      </w:r>
    </w:p>
    <w:p w14:paraId="6AE4AA27" w14:textId="4D6A1121" w:rsidR="00643161" w:rsidRPr="00D3452E" w:rsidRDefault="00175CA8" w:rsidP="00643161">
      <w:pPr>
        <w:pStyle w:val="Para"/>
      </w:pPr>
      <w:r w:rsidRPr="00D3452E">
        <w:rPr>
          <w:lang w:bidi="fr-FR"/>
        </w:rPr>
        <w:t>La crise a réduit les opportunités d</w:t>
      </w:r>
      <w:r w:rsidR="001E584B">
        <w:rPr>
          <w:lang w:bidi="fr-FR"/>
        </w:rPr>
        <w:t>’</w:t>
      </w:r>
      <w:r w:rsidRPr="00D3452E">
        <w:rPr>
          <w:lang w:bidi="fr-FR"/>
        </w:rPr>
        <w:t>apprentissage et de progression pour la plupart des élèves durant la fermeture des établissements scolaires. Un grand nombre d</w:t>
      </w:r>
      <w:r w:rsidR="001E584B">
        <w:rPr>
          <w:lang w:bidi="fr-FR"/>
        </w:rPr>
        <w:t>’</w:t>
      </w:r>
      <w:r w:rsidRPr="00D3452E">
        <w:rPr>
          <w:lang w:bidi="fr-FR"/>
        </w:rPr>
        <w:t xml:space="preserve">enquêtes menées auprès des </w:t>
      </w:r>
      <w:proofErr w:type="spellStart"/>
      <w:r w:rsidRPr="00D3452E">
        <w:rPr>
          <w:lang w:bidi="fr-FR"/>
        </w:rPr>
        <w:t>enseignant·e·s</w:t>
      </w:r>
      <w:proofErr w:type="spellEnd"/>
      <w:r w:rsidRPr="00D3452E">
        <w:rPr>
          <w:lang w:bidi="fr-FR"/>
        </w:rPr>
        <w:t xml:space="preserve"> révèlent la crainte de voir les écarts se creuser durant la crise entre élèves performants et moins performants, entre élèves </w:t>
      </w:r>
      <w:proofErr w:type="spellStart"/>
      <w:r w:rsidRPr="00D3452E">
        <w:rPr>
          <w:lang w:bidi="fr-FR"/>
        </w:rPr>
        <w:t>issu·e·s</w:t>
      </w:r>
      <w:proofErr w:type="spellEnd"/>
      <w:r w:rsidRPr="00D3452E">
        <w:rPr>
          <w:lang w:bidi="fr-FR"/>
        </w:rPr>
        <w:t xml:space="preserve"> de milieux socio-économiques favorisés et défavorisés et parmi les autres groupes à risque. Dans le même temps, la pandémie a amené les écoles et les </w:t>
      </w:r>
      <w:proofErr w:type="spellStart"/>
      <w:r w:rsidRPr="00D3452E">
        <w:rPr>
          <w:lang w:bidi="fr-FR"/>
        </w:rPr>
        <w:t>enseignant·e·s</w:t>
      </w:r>
      <w:proofErr w:type="spellEnd"/>
      <w:r w:rsidRPr="00D3452E">
        <w:rPr>
          <w:lang w:bidi="fr-FR"/>
        </w:rPr>
        <w:t xml:space="preserve"> à se livrer à </w:t>
      </w:r>
      <w:r w:rsidR="000D6415">
        <w:rPr>
          <w:lang w:bidi="fr-FR"/>
        </w:rPr>
        <w:t xml:space="preserve">une </w:t>
      </w:r>
      <w:r w:rsidRPr="00D3452E">
        <w:rPr>
          <w:lang w:bidi="fr-FR"/>
        </w:rPr>
        <w:t>multitude de petites innovations et d</w:t>
      </w:r>
      <w:r w:rsidR="001E584B">
        <w:rPr>
          <w:lang w:bidi="fr-FR"/>
        </w:rPr>
        <w:t>’</w:t>
      </w:r>
      <w:r w:rsidRPr="00D3452E">
        <w:rPr>
          <w:lang w:bidi="fr-FR"/>
        </w:rPr>
        <w:t>expérimentations, ainsi qu</w:t>
      </w:r>
      <w:r w:rsidR="001E584B">
        <w:rPr>
          <w:lang w:bidi="fr-FR"/>
        </w:rPr>
        <w:t>’</w:t>
      </w:r>
      <w:r w:rsidRPr="00D3452E">
        <w:rPr>
          <w:lang w:bidi="fr-FR"/>
        </w:rPr>
        <w:t>au développement de nouvelles infrastructures d</w:t>
      </w:r>
      <w:r w:rsidR="001E584B">
        <w:rPr>
          <w:lang w:bidi="fr-FR"/>
        </w:rPr>
        <w:t>’</w:t>
      </w:r>
      <w:r w:rsidRPr="00D3452E">
        <w:rPr>
          <w:lang w:bidi="fr-FR"/>
        </w:rPr>
        <w:t xml:space="preserve">apprentissage. Les </w:t>
      </w:r>
      <w:proofErr w:type="spellStart"/>
      <w:r w:rsidRPr="00D3452E">
        <w:rPr>
          <w:lang w:bidi="fr-FR"/>
        </w:rPr>
        <w:t>enseignant·e·s</w:t>
      </w:r>
      <w:proofErr w:type="spellEnd"/>
      <w:r w:rsidRPr="00D3452E">
        <w:rPr>
          <w:lang w:bidi="fr-FR"/>
        </w:rPr>
        <w:t xml:space="preserve"> ont commencé à tirer des enseignements de cette nouvelle situation. Les systèmes éducatifs peuvent </w:t>
      </w:r>
      <w:r w:rsidR="000D6415">
        <w:rPr>
          <w:lang w:bidi="fr-FR"/>
        </w:rPr>
        <w:t>apprendre</w:t>
      </w:r>
      <w:r w:rsidRPr="00D3452E">
        <w:rPr>
          <w:lang w:bidi="fr-FR"/>
        </w:rPr>
        <w:t xml:space="preserve"> de ces évolutions pour devenir plus efficaces et plus équitables. Dans toutes les sociétés, la pandémie a révélé l</w:t>
      </w:r>
      <w:r w:rsidR="001E584B">
        <w:rPr>
          <w:lang w:bidi="fr-FR"/>
        </w:rPr>
        <w:t>’</w:t>
      </w:r>
      <w:r w:rsidRPr="00D3452E">
        <w:rPr>
          <w:lang w:bidi="fr-FR"/>
        </w:rPr>
        <w:t>importance des capacités de première ligne et des initiatives en faveur du changement à chaque échelon du système. Les programmes de relance de l</w:t>
      </w:r>
      <w:r w:rsidR="001E584B">
        <w:rPr>
          <w:lang w:bidi="fr-FR"/>
        </w:rPr>
        <w:t>’</w:t>
      </w:r>
      <w:r w:rsidRPr="00D3452E">
        <w:rPr>
          <w:lang w:bidi="fr-FR"/>
        </w:rPr>
        <w:t>éducation doivent accorder une place centrale au soutien à apporter à une communauté enseignante activement engagée dans la mise en place d</w:t>
      </w:r>
      <w:r w:rsidR="001E584B">
        <w:rPr>
          <w:lang w:bidi="fr-FR"/>
        </w:rPr>
        <w:t>’</w:t>
      </w:r>
      <w:r w:rsidRPr="00D3452E">
        <w:rPr>
          <w:lang w:bidi="fr-FR"/>
        </w:rPr>
        <w:t>environnements d</w:t>
      </w:r>
      <w:r w:rsidR="001E584B">
        <w:rPr>
          <w:lang w:bidi="fr-FR"/>
        </w:rPr>
        <w:t>’</w:t>
      </w:r>
      <w:r w:rsidRPr="00D3452E">
        <w:rPr>
          <w:lang w:bidi="fr-FR"/>
        </w:rPr>
        <w:t>apprentissage et de politiques publiques, dans l</w:t>
      </w:r>
      <w:r w:rsidR="001E584B">
        <w:rPr>
          <w:lang w:bidi="fr-FR"/>
        </w:rPr>
        <w:t>’</w:t>
      </w:r>
      <w:r w:rsidRPr="00D3452E">
        <w:rPr>
          <w:lang w:bidi="fr-FR"/>
        </w:rPr>
        <w:t>avancement de la pratique professionnelle et dans la création d</w:t>
      </w:r>
      <w:r w:rsidR="001E584B">
        <w:rPr>
          <w:lang w:bidi="fr-FR"/>
        </w:rPr>
        <w:t>’</w:t>
      </w:r>
      <w:r w:rsidRPr="00D3452E">
        <w:rPr>
          <w:lang w:bidi="fr-FR"/>
        </w:rPr>
        <w:t xml:space="preserve">une organisation du travail plus efficace. Cela nécessitera une répartition efficace du leadership des </w:t>
      </w:r>
      <w:proofErr w:type="spellStart"/>
      <w:r w:rsidRPr="00D3452E">
        <w:rPr>
          <w:lang w:bidi="fr-FR"/>
        </w:rPr>
        <w:t>enseignant·e·s</w:t>
      </w:r>
      <w:proofErr w:type="spellEnd"/>
      <w:r w:rsidRPr="00D3452E">
        <w:rPr>
          <w:lang w:bidi="fr-FR"/>
        </w:rPr>
        <w:t>, combinant l</w:t>
      </w:r>
      <w:r w:rsidR="001E584B">
        <w:rPr>
          <w:lang w:bidi="fr-FR"/>
        </w:rPr>
        <w:t>’</w:t>
      </w:r>
      <w:r w:rsidRPr="00D3452E">
        <w:rPr>
          <w:lang w:bidi="fr-FR"/>
        </w:rPr>
        <w:t xml:space="preserve">autonomie professionnelle, la confiance dans le professionnalisme des </w:t>
      </w:r>
      <w:proofErr w:type="spellStart"/>
      <w:r w:rsidRPr="00D3452E">
        <w:rPr>
          <w:lang w:bidi="fr-FR"/>
        </w:rPr>
        <w:t>enseignant·e·s</w:t>
      </w:r>
      <w:proofErr w:type="spellEnd"/>
      <w:r w:rsidRPr="00D3452E">
        <w:rPr>
          <w:lang w:bidi="fr-FR"/>
        </w:rPr>
        <w:t>, la collaboration, le soutien approprié et une culture encourageant l</w:t>
      </w:r>
      <w:r w:rsidR="001E584B">
        <w:rPr>
          <w:lang w:bidi="fr-FR"/>
        </w:rPr>
        <w:t>’</w:t>
      </w:r>
      <w:r w:rsidRPr="00D3452E">
        <w:rPr>
          <w:lang w:bidi="fr-FR"/>
        </w:rPr>
        <w:t>apprentissage et l</w:t>
      </w:r>
      <w:r w:rsidR="001E584B">
        <w:rPr>
          <w:lang w:bidi="fr-FR"/>
        </w:rPr>
        <w:t>’</w:t>
      </w:r>
      <w:r w:rsidRPr="00D3452E">
        <w:rPr>
          <w:lang w:bidi="fr-FR"/>
        </w:rPr>
        <w:t>engagement à tous les niveaux des systèmes éducatifs et à tous les niveaux de l</w:t>
      </w:r>
      <w:r w:rsidR="001E584B">
        <w:rPr>
          <w:lang w:bidi="fr-FR"/>
        </w:rPr>
        <w:t>’</w:t>
      </w:r>
      <w:r w:rsidRPr="00D3452E">
        <w:rPr>
          <w:lang w:bidi="fr-FR"/>
        </w:rPr>
        <w:t xml:space="preserve">expérience des </w:t>
      </w:r>
      <w:proofErr w:type="spellStart"/>
      <w:r w:rsidRPr="00D3452E">
        <w:rPr>
          <w:lang w:bidi="fr-FR"/>
        </w:rPr>
        <w:t>enseignant·e·s</w:t>
      </w:r>
      <w:proofErr w:type="spellEnd"/>
      <w:r w:rsidRPr="00D3452E">
        <w:rPr>
          <w:lang w:bidi="fr-FR"/>
        </w:rPr>
        <w:t>.</w:t>
      </w:r>
    </w:p>
    <w:p w14:paraId="4C8AE1D5" w14:textId="668C14DC" w:rsidR="00175CA8" w:rsidRPr="00D3452E" w:rsidRDefault="00175CA8" w:rsidP="00175CA8">
      <w:pPr>
        <w:pStyle w:val="Para"/>
      </w:pPr>
    </w:p>
    <w:p w14:paraId="1D5CCF31" w14:textId="54276E13" w:rsidR="00FA7C5C" w:rsidRPr="00D3452E" w:rsidRDefault="00175CA8" w:rsidP="00175CA8">
      <w:pPr>
        <w:pStyle w:val="Para"/>
      </w:pPr>
      <w:r w:rsidRPr="00D3452E">
        <w:rPr>
          <w:b/>
          <w:lang w:bidi="fr-FR"/>
        </w:rPr>
        <w:t>Principe 6.</w:t>
      </w:r>
      <w:r w:rsidRPr="00D3452E">
        <w:rPr>
          <w:lang w:bidi="fr-FR"/>
        </w:rPr>
        <w:t xml:space="preserve"> </w:t>
      </w:r>
      <w:r w:rsidRPr="00D3452E">
        <w:rPr>
          <w:b/>
          <w:lang w:bidi="fr-FR"/>
        </w:rPr>
        <w:t xml:space="preserve">Apporter un soutien ciblé pour répondre aux besoins éducatifs, sociaux et émotionnels des élèves. </w:t>
      </w:r>
    </w:p>
    <w:p w14:paraId="070696AD" w14:textId="5188A121" w:rsidR="00175CA8" w:rsidRDefault="00175CA8" w:rsidP="00175CA8">
      <w:pPr>
        <w:pStyle w:val="Para"/>
      </w:pPr>
      <w:r w:rsidRPr="00D3452E">
        <w:rPr>
          <w:lang w:bidi="fr-FR"/>
        </w:rPr>
        <w:t>Les pays doivent, de manière parfaitement réfléchie, mettre tout en œuvre et engager des ressources pour apporter un soutien ciblé supplémentaire aux élèves, afin de pallier la diminution des opportunités d</w:t>
      </w:r>
      <w:r w:rsidR="001E584B">
        <w:rPr>
          <w:lang w:bidi="fr-FR"/>
        </w:rPr>
        <w:t>’</w:t>
      </w:r>
      <w:r w:rsidRPr="00D3452E">
        <w:rPr>
          <w:lang w:bidi="fr-FR"/>
        </w:rPr>
        <w:t>apprentissage à laquelle sont confrontés certains groupes. La relance de l</w:t>
      </w:r>
      <w:r w:rsidR="001E584B">
        <w:rPr>
          <w:lang w:bidi="fr-FR"/>
        </w:rPr>
        <w:t>’</w:t>
      </w:r>
      <w:r w:rsidRPr="00D3452E">
        <w:rPr>
          <w:lang w:bidi="fr-FR"/>
        </w:rPr>
        <w:t>éducation offre aux pays la possibilité de développer des stratégies pour s</w:t>
      </w:r>
      <w:r w:rsidR="001E584B">
        <w:rPr>
          <w:lang w:bidi="fr-FR"/>
        </w:rPr>
        <w:t>’</w:t>
      </w:r>
      <w:r w:rsidRPr="00D3452E">
        <w:rPr>
          <w:lang w:bidi="fr-FR"/>
        </w:rPr>
        <w:t>assurer que le milieu socio-économique, le genre, l</w:t>
      </w:r>
      <w:r w:rsidR="001E584B">
        <w:rPr>
          <w:lang w:bidi="fr-FR"/>
        </w:rPr>
        <w:t>’</w:t>
      </w:r>
      <w:r w:rsidRPr="00D3452E">
        <w:rPr>
          <w:lang w:bidi="fr-FR"/>
        </w:rPr>
        <w:t>ethnicité, le statut migratoire, les capacités et le lieu de résidence des élèves ne déterminent ni leur accès à l</w:t>
      </w:r>
      <w:r w:rsidR="001E584B">
        <w:rPr>
          <w:lang w:bidi="fr-FR"/>
        </w:rPr>
        <w:t>’</w:t>
      </w:r>
      <w:r w:rsidRPr="00D3452E">
        <w:rPr>
          <w:lang w:bidi="fr-FR"/>
        </w:rPr>
        <w:t xml:space="preserve">éducation de qualité ni leurs résultats scolaires. </w:t>
      </w:r>
      <w:proofErr w:type="spellStart"/>
      <w:r w:rsidRPr="00D3452E">
        <w:rPr>
          <w:lang w:bidi="fr-FR"/>
        </w:rPr>
        <w:t>Tou·te·s</w:t>
      </w:r>
      <w:proofErr w:type="spellEnd"/>
      <w:r w:rsidRPr="00D3452E">
        <w:rPr>
          <w:lang w:bidi="fr-FR"/>
        </w:rPr>
        <w:t xml:space="preserve"> les élèves doivent continuer à bénéficier d</w:t>
      </w:r>
      <w:r w:rsidR="001E584B">
        <w:rPr>
          <w:lang w:bidi="fr-FR"/>
        </w:rPr>
        <w:t>’</w:t>
      </w:r>
      <w:r w:rsidRPr="00D3452E">
        <w:rPr>
          <w:lang w:bidi="fr-FR"/>
        </w:rPr>
        <w:t>un programme d</w:t>
      </w:r>
      <w:r w:rsidR="001E584B">
        <w:rPr>
          <w:lang w:bidi="fr-FR"/>
        </w:rPr>
        <w:t>’</w:t>
      </w:r>
      <w:r w:rsidRPr="00D3452E">
        <w:rPr>
          <w:lang w:bidi="fr-FR"/>
        </w:rPr>
        <w:t>études suffisamment étoffé et équilibré, adapté à leurs besoins d</w:t>
      </w:r>
      <w:r w:rsidR="001E584B">
        <w:rPr>
          <w:lang w:bidi="fr-FR"/>
        </w:rPr>
        <w:t>’</w:t>
      </w:r>
      <w:r w:rsidRPr="00D3452E">
        <w:rPr>
          <w:lang w:bidi="fr-FR"/>
        </w:rPr>
        <w:t>apprentissage. Un grand nombre nécessiteront un soutien dans le cadre de leurs besoins sociaux et émotionnels. Le soutien ciblé peut prendre différentes formes : encadrement de petits groupes pendant ou après l</w:t>
      </w:r>
      <w:r w:rsidR="001E584B">
        <w:rPr>
          <w:lang w:bidi="fr-FR"/>
        </w:rPr>
        <w:t>’</w:t>
      </w:r>
      <w:r w:rsidRPr="00D3452E">
        <w:rPr>
          <w:lang w:bidi="fr-FR"/>
        </w:rPr>
        <w:t>école, cours d</w:t>
      </w:r>
      <w:r w:rsidR="001E584B">
        <w:rPr>
          <w:lang w:bidi="fr-FR"/>
        </w:rPr>
        <w:t>’</w:t>
      </w:r>
      <w:r w:rsidRPr="00D3452E">
        <w:rPr>
          <w:lang w:bidi="fr-FR"/>
        </w:rPr>
        <w:t>été, conseils à des élèves spécifiques en fonction de leurs besoins sociaux et émotionnels, insistance sur l</w:t>
      </w:r>
      <w:r w:rsidR="001E584B">
        <w:rPr>
          <w:lang w:bidi="fr-FR"/>
        </w:rPr>
        <w:t>’</w:t>
      </w:r>
      <w:r w:rsidRPr="00D3452E">
        <w:rPr>
          <w:lang w:bidi="fr-FR"/>
        </w:rPr>
        <w:t>apprentissage coopératif et métacognitif et sur les interventions dans le langage oral ou d</w:t>
      </w:r>
      <w:r w:rsidR="001E584B">
        <w:rPr>
          <w:lang w:bidi="fr-FR"/>
        </w:rPr>
        <w:t>’</w:t>
      </w:r>
      <w:r w:rsidRPr="00D3452E">
        <w:rPr>
          <w:lang w:bidi="fr-FR"/>
        </w:rPr>
        <w:t>autres formes d</w:t>
      </w:r>
      <w:r w:rsidR="001E584B">
        <w:rPr>
          <w:lang w:bidi="fr-FR"/>
        </w:rPr>
        <w:t>’</w:t>
      </w:r>
      <w:r w:rsidRPr="00D3452E">
        <w:rPr>
          <w:lang w:bidi="fr-FR"/>
        </w:rPr>
        <w:t>interventions pédagogiques s</w:t>
      </w:r>
      <w:r w:rsidR="001E584B">
        <w:rPr>
          <w:lang w:bidi="fr-FR"/>
        </w:rPr>
        <w:t>’</w:t>
      </w:r>
      <w:r w:rsidRPr="00D3452E">
        <w:rPr>
          <w:lang w:bidi="fr-FR"/>
        </w:rPr>
        <w:t>appuyant sur des études fondées et jugées appropriées dans le contexte local. Ces interventions doivent prendre en considération que les écoles sont à la fois des points de ralliement sociaux qui contribuent au développement des compétences socio-émotionnelles et au bien-être des élèves et des lieux centraux de leurs communautés locales. De nouvelles interventions et approches peuvent également être déployées avec l</w:t>
      </w:r>
      <w:r w:rsidR="001E584B">
        <w:rPr>
          <w:lang w:bidi="fr-FR"/>
        </w:rPr>
        <w:t>’</w:t>
      </w:r>
      <w:r w:rsidRPr="00D3452E">
        <w:rPr>
          <w:lang w:bidi="fr-FR"/>
        </w:rPr>
        <w:t>engagement des écoles au sein de leurs communautés.</w:t>
      </w:r>
    </w:p>
    <w:p w14:paraId="57943686" w14:textId="77777777" w:rsidR="001F1B7C" w:rsidRDefault="001F1B7C" w:rsidP="00175CA8">
      <w:pPr>
        <w:pStyle w:val="Para"/>
      </w:pPr>
    </w:p>
    <w:p w14:paraId="38212E4C" w14:textId="1744BA8D" w:rsidR="001F1B7C" w:rsidRPr="00D3452E" w:rsidRDefault="001F1B7C" w:rsidP="001F1B7C">
      <w:pPr>
        <w:pStyle w:val="Para"/>
      </w:pPr>
      <w:r w:rsidRPr="00D3452E">
        <w:rPr>
          <w:b/>
          <w:lang w:bidi="fr-FR"/>
        </w:rPr>
        <w:t>Principe 7.</w:t>
      </w:r>
      <w:r w:rsidRPr="00D3452E">
        <w:rPr>
          <w:lang w:bidi="fr-FR"/>
        </w:rPr>
        <w:t xml:space="preserve"> </w:t>
      </w:r>
      <w:r w:rsidRPr="00D3452E">
        <w:rPr>
          <w:b/>
          <w:lang w:bidi="fr-FR"/>
        </w:rPr>
        <w:t>Concevoir une infrastructure d</w:t>
      </w:r>
      <w:r w:rsidR="001E584B">
        <w:rPr>
          <w:b/>
          <w:lang w:bidi="fr-FR"/>
        </w:rPr>
        <w:t>’</w:t>
      </w:r>
      <w:r w:rsidRPr="00D3452E">
        <w:rPr>
          <w:b/>
          <w:lang w:bidi="fr-FR"/>
        </w:rPr>
        <w:t xml:space="preserve">apprentissage numérique performante avec </w:t>
      </w:r>
      <w:proofErr w:type="gramStart"/>
      <w:r w:rsidRPr="00D3452E">
        <w:rPr>
          <w:b/>
          <w:lang w:bidi="fr-FR"/>
        </w:rPr>
        <w:t xml:space="preserve">les </w:t>
      </w:r>
      <w:proofErr w:type="spellStart"/>
      <w:r w:rsidRPr="00D3452E">
        <w:rPr>
          <w:b/>
          <w:lang w:bidi="fr-FR"/>
        </w:rPr>
        <w:t>enseignant</w:t>
      </w:r>
      <w:proofErr w:type="gramEnd"/>
      <w:r w:rsidRPr="00D3452E">
        <w:rPr>
          <w:b/>
          <w:lang w:bidi="fr-FR"/>
        </w:rPr>
        <w:t>·e·s</w:t>
      </w:r>
      <w:proofErr w:type="spellEnd"/>
      <w:r w:rsidRPr="00D3452E">
        <w:rPr>
          <w:b/>
          <w:lang w:bidi="fr-FR"/>
        </w:rPr>
        <w:t xml:space="preserve"> et les parties prenantes. </w:t>
      </w:r>
    </w:p>
    <w:p w14:paraId="6BF9E31D" w14:textId="792008EF" w:rsidR="001F1B7C" w:rsidRDefault="001F1B7C" w:rsidP="001F1B7C">
      <w:pPr>
        <w:pStyle w:val="Para"/>
      </w:pPr>
      <w:r w:rsidRPr="00D3452E">
        <w:rPr>
          <w:lang w:bidi="fr-FR"/>
        </w:rPr>
        <w:t>La pandémie a montré que les systèmes éducatifs nécessitaient une infrastructure d</w:t>
      </w:r>
      <w:r w:rsidR="001E584B">
        <w:rPr>
          <w:lang w:bidi="fr-FR"/>
        </w:rPr>
        <w:t>’</w:t>
      </w:r>
      <w:r w:rsidRPr="00D3452E">
        <w:rPr>
          <w:lang w:bidi="fr-FR"/>
        </w:rPr>
        <w:t>apprentissage numérique performante. Celle-ci doit être développée et mise en place en collaboration avec la profession enseignante. Pour être efficaces et inclusives, les plateformes numériques doivent proposer des ressources utiles à l</w:t>
      </w:r>
      <w:r w:rsidR="001E584B">
        <w:rPr>
          <w:lang w:bidi="fr-FR"/>
        </w:rPr>
        <w:t>’</w:t>
      </w:r>
      <w:r w:rsidRPr="00D3452E">
        <w:rPr>
          <w:lang w:bidi="fr-FR"/>
        </w:rPr>
        <w:t>apprentissage au sein et en dehors de l</w:t>
      </w:r>
      <w:r w:rsidR="001E584B">
        <w:rPr>
          <w:lang w:bidi="fr-FR"/>
        </w:rPr>
        <w:t>’</w:t>
      </w:r>
      <w:r w:rsidRPr="00D3452E">
        <w:rPr>
          <w:lang w:bidi="fr-FR"/>
        </w:rPr>
        <w:t>école, permettant, du moins en partie, de lutter contre les inégalités qui compromettent la scolarisation d</w:t>
      </w:r>
      <w:r w:rsidR="001E584B">
        <w:rPr>
          <w:lang w:bidi="fr-FR"/>
        </w:rPr>
        <w:t>’</w:t>
      </w:r>
      <w:r w:rsidRPr="00D3452E">
        <w:rPr>
          <w:lang w:bidi="fr-FR"/>
        </w:rPr>
        <w:t>un grand nombre d</w:t>
      </w:r>
      <w:r w:rsidR="001E584B">
        <w:rPr>
          <w:lang w:bidi="fr-FR"/>
        </w:rPr>
        <w:t>’</w:t>
      </w:r>
      <w:r w:rsidRPr="00D3452E">
        <w:rPr>
          <w:lang w:bidi="fr-FR"/>
        </w:rPr>
        <w:t>élèves et d</w:t>
      </w:r>
      <w:r w:rsidR="001E584B">
        <w:rPr>
          <w:lang w:bidi="fr-FR"/>
        </w:rPr>
        <w:t>’</w:t>
      </w:r>
      <w:r w:rsidRPr="00D3452E">
        <w:rPr>
          <w:lang w:bidi="fr-FR"/>
        </w:rPr>
        <w:t>améliorer l</w:t>
      </w:r>
      <w:r w:rsidR="001E584B">
        <w:rPr>
          <w:lang w:bidi="fr-FR"/>
        </w:rPr>
        <w:t>’</w:t>
      </w:r>
      <w:r w:rsidRPr="00D3452E">
        <w:rPr>
          <w:lang w:bidi="fr-FR"/>
        </w:rPr>
        <w:t>efficacité de l</w:t>
      </w:r>
      <w:r w:rsidR="001E584B">
        <w:rPr>
          <w:lang w:bidi="fr-FR"/>
        </w:rPr>
        <w:t>’</w:t>
      </w:r>
      <w:r w:rsidRPr="00D3452E">
        <w:rPr>
          <w:lang w:bidi="fr-FR"/>
        </w:rPr>
        <w:t xml:space="preserve">apprentissage pour </w:t>
      </w:r>
      <w:proofErr w:type="spellStart"/>
      <w:r w:rsidRPr="00D3452E">
        <w:rPr>
          <w:lang w:bidi="fr-FR"/>
        </w:rPr>
        <w:t>tou·te·s</w:t>
      </w:r>
      <w:proofErr w:type="spellEnd"/>
      <w:r w:rsidRPr="00D3452E">
        <w:rPr>
          <w:lang w:bidi="fr-FR"/>
        </w:rPr>
        <w:t>. Au-delà des systèmes de gestion de l</w:t>
      </w:r>
      <w:r w:rsidR="001E584B">
        <w:rPr>
          <w:lang w:bidi="fr-FR"/>
        </w:rPr>
        <w:t>’</w:t>
      </w:r>
      <w:r w:rsidRPr="00D3452E">
        <w:rPr>
          <w:lang w:bidi="fr-FR"/>
        </w:rPr>
        <w:t>apprentissage et des plateformes de ressources pédagogiques de qualité permettant de soutenir l</w:t>
      </w:r>
      <w:r w:rsidR="001E584B">
        <w:rPr>
          <w:lang w:bidi="fr-FR"/>
        </w:rPr>
        <w:t>’</w:t>
      </w:r>
      <w:r w:rsidRPr="00D3452E">
        <w:rPr>
          <w:lang w:bidi="fr-FR"/>
        </w:rPr>
        <w:t>enseignement et l</w:t>
      </w:r>
      <w:r w:rsidR="001E584B">
        <w:rPr>
          <w:lang w:bidi="fr-FR"/>
        </w:rPr>
        <w:t>’</w:t>
      </w:r>
      <w:r w:rsidRPr="00D3452E">
        <w:rPr>
          <w:lang w:bidi="fr-FR"/>
        </w:rPr>
        <w:t>apprentissage à l</w:t>
      </w:r>
      <w:r w:rsidR="001E584B">
        <w:rPr>
          <w:lang w:bidi="fr-FR"/>
        </w:rPr>
        <w:t>’</w:t>
      </w:r>
      <w:r w:rsidRPr="00D3452E">
        <w:rPr>
          <w:lang w:bidi="fr-FR"/>
        </w:rPr>
        <w:t>école et à domicile, cette infrastructure peut comporter des ressources numériques basées sur les dernières avancées des technologies numériques. Exemple, les systèmes de tutorat intelligents pourraient soutenir l</w:t>
      </w:r>
      <w:r w:rsidR="001E584B">
        <w:rPr>
          <w:lang w:bidi="fr-FR"/>
        </w:rPr>
        <w:t>’</w:t>
      </w:r>
      <w:r w:rsidRPr="00D3452E">
        <w:rPr>
          <w:lang w:bidi="fr-FR"/>
        </w:rPr>
        <w:t xml:space="preserve">acquisition individualisée des connaissances procédurales dans certaines matières, tandis que les ressources numériques pourraient fournir aux </w:t>
      </w:r>
      <w:proofErr w:type="spellStart"/>
      <w:r w:rsidRPr="00D3452E">
        <w:rPr>
          <w:lang w:bidi="fr-FR"/>
        </w:rPr>
        <w:t>enseignant·e·s</w:t>
      </w:r>
      <w:proofErr w:type="spellEnd"/>
      <w:r w:rsidRPr="00D3452E">
        <w:rPr>
          <w:lang w:bidi="fr-FR"/>
        </w:rPr>
        <w:t xml:space="preserve"> des informations concernant leur enseignement et l</w:t>
      </w:r>
      <w:r w:rsidR="001E584B">
        <w:rPr>
          <w:lang w:bidi="fr-FR"/>
        </w:rPr>
        <w:t>’</w:t>
      </w:r>
      <w:r w:rsidRPr="00D3452E">
        <w:rPr>
          <w:lang w:bidi="fr-FR"/>
        </w:rPr>
        <w:t xml:space="preserve">apprentissage des élèves, faciliter leur engagement continu dans la formation et favoriser leurs interactions sociales avec leurs pairs et leurs </w:t>
      </w:r>
      <w:proofErr w:type="spellStart"/>
      <w:r w:rsidRPr="00D3452E">
        <w:rPr>
          <w:lang w:bidi="fr-FR"/>
        </w:rPr>
        <w:t>enseignant·e·s</w:t>
      </w:r>
      <w:proofErr w:type="spellEnd"/>
      <w:r w:rsidRPr="00D3452E">
        <w:rPr>
          <w:lang w:bidi="fr-FR"/>
        </w:rPr>
        <w:t>. Cette nouvelle infrastructure d</w:t>
      </w:r>
      <w:r w:rsidR="001E584B">
        <w:rPr>
          <w:lang w:bidi="fr-FR"/>
        </w:rPr>
        <w:t>’</w:t>
      </w:r>
      <w:r w:rsidRPr="00D3452E">
        <w:rPr>
          <w:lang w:bidi="fr-FR"/>
        </w:rPr>
        <w:t xml:space="preserve">apprentissage doit être conçue conjointement avec </w:t>
      </w:r>
      <w:proofErr w:type="gramStart"/>
      <w:r w:rsidRPr="00D3452E">
        <w:rPr>
          <w:lang w:bidi="fr-FR"/>
        </w:rPr>
        <w:t xml:space="preserve">les </w:t>
      </w:r>
      <w:proofErr w:type="spellStart"/>
      <w:r w:rsidRPr="00D3452E">
        <w:rPr>
          <w:lang w:bidi="fr-FR"/>
        </w:rPr>
        <w:t>enseignant</w:t>
      </w:r>
      <w:proofErr w:type="gramEnd"/>
      <w:r w:rsidRPr="00D3452E">
        <w:rPr>
          <w:lang w:bidi="fr-FR"/>
        </w:rPr>
        <w:t>·e·s</w:t>
      </w:r>
      <w:proofErr w:type="spellEnd"/>
      <w:r w:rsidRPr="00D3452E">
        <w:rPr>
          <w:lang w:bidi="fr-FR"/>
        </w:rPr>
        <w:t xml:space="preserve"> et les élèves et permettre aux </w:t>
      </w:r>
      <w:proofErr w:type="spellStart"/>
      <w:r w:rsidRPr="00D3452E">
        <w:rPr>
          <w:lang w:bidi="fr-FR"/>
        </w:rPr>
        <w:t>enseignant·e·s</w:t>
      </w:r>
      <w:proofErr w:type="spellEnd"/>
      <w:r w:rsidRPr="00D3452E">
        <w:rPr>
          <w:lang w:bidi="fr-FR"/>
        </w:rPr>
        <w:t xml:space="preserve"> d</w:t>
      </w:r>
      <w:r w:rsidR="001E584B">
        <w:rPr>
          <w:lang w:bidi="fr-FR"/>
        </w:rPr>
        <w:t>’</w:t>
      </w:r>
      <w:r w:rsidRPr="00D3452E">
        <w:rPr>
          <w:lang w:bidi="fr-FR"/>
        </w:rPr>
        <w:t>améliorer l</w:t>
      </w:r>
      <w:r w:rsidR="001E584B">
        <w:rPr>
          <w:lang w:bidi="fr-FR"/>
        </w:rPr>
        <w:t>’</w:t>
      </w:r>
      <w:r w:rsidRPr="00D3452E">
        <w:rPr>
          <w:lang w:bidi="fr-FR"/>
        </w:rPr>
        <w:t xml:space="preserve">apprentissage et le soutien de leurs élèves. Utiliser des solutions technologiques pouvant facilement fonctionner entre elles (interopérabilité), permettre aux </w:t>
      </w:r>
      <w:proofErr w:type="spellStart"/>
      <w:r w:rsidRPr="00D3452E">
        <w:rPr>
          <w:lang w:bidi="fr-FR"/>
        </w:rPr>
        <w:t>enseignant·e·s</w:t>
      </w:r>
      <w:proofErr w:type="spellEnd"/>
      <w:r w:rsidRPr="00D3452E">
        <w:rPr>
          <w:lang w:bidi="fr-FR"/>
        </w:rPr>
        <w:t xml:space="preserve"> et aux parties prenantes pertinentes de contribuer aux ressources d</w:t>
      </w:r>
      <w:r w:rsidR="001E584B">
        <w:rPr>
          <w:lang w:bidi="fr-FR"/>
        </w:rPr>
        <w:t>’</w:t>
      </w:r>
      <w:r w:rsidRPr="00D3452E">
        <w:rPr>
          <w:lang w:bidi="fr-FR"/>
        </w:rPr>
        <w:t>apprentissage (apport commun) et impliquer tout le monde dans la sélection de ces ressources (sélection commune) seront également des facteurs déterminants pour assurer la performance d</w:t>
      </w:r>
      <w:r w:rsidR="001E584B">
        <w:rPr>
          <w:lang w:bidi="fr-FR"/>
        </w:rPr>
        <w:t>’</w:t>
      </w:r>
      <w:r w:rsidRPr="00D3452E">
        <w:rPr>
          <w:lang w:bidi="fr-FR"/>
        </w:rPr>
        <w:t>une infrastructure numérique. L</w:t>
      </w:r>
      <w:r w:rsidR="001E584B">
        <w:rPr>
          <w:lang w:bidi="fr-FR"/>
        </w:rPr>
        <w:t>’</w:t>
      </w:r>
      <w:r w:rsidRPr="00D3452E">
        <w:rPr>
          <w:lang w:bidi="fr-FR"/>
        </w:rPr>
        <w:t>évaluation et l</w:t>
      </w:r>
      <w:r w:rsidR="001E584B">
        <w:rPr>
          <w:lang w:bidi="fr-FR"/>
        </w:rPr>
        <w:t>’</w:t>
      </w:r>
      <w:r w:rsidRPr="00D3452E">
        <w:rPr>
          <w:lang w:bidi="fr-FR"/>
        </w:rPr>
        <w:t>assurance de la qualité de cette infrastructure doivent être accompagnées de critères technologiques transparents pour les prestataires et s</w:t>
      </w:r>
      <w:r w:rsidR="001E584B">
        <w:rPr>
          <w:lang w:bidi="fr-FR"/>
        </w:rPr>
        <w:t>’</w:t>
      </w:r>
      <w:r w:rsidRPr="00D3452E">
        <w:rPr>
          <w:lang w:bidi="fr-FR"/>
        </w:rPr>
        <w:t xml:space="preserve">appuyer essentiellement sur les </w:t>
      </w:r>
      <w:r w:rsidR="000D6415">
        <w:rPr>
          <w:lang w:bidi="fr-FR"/>
        </w:rPr>
        <w:t xml:space="preserve">avis </w:t>
      </w:r>
      <w:r w:rsidRPr="00D3452E">
        <w:rPr>
          <w:lang w:bidi="fr-FR"/>
        </w:rPr>
        <w:t xml:space="preserve">des </w:t>
      </w:r>
      <w:proofErr w:type="spellStart"/>
      <w:r w:rsidRPr="00D3452E">
        <w:rPr>
          <w:lang w:bidi="fr-FR"/>
        </w:rPr>
        <w:t>enseignant·e·s</w:t>
      </w:r>
      <w:proofErr w:type="spellEnd"/>
      <w:r w:rsidRPr="00D3452E">
        <w:rPr>
          <w:lang w:bidi="fr-FR"/>
        </w:rPr>
        <w:t>, des élèves et des communautés scolaires.</w:t>
      </w:r>
    </w:p>
    <w:p w14:paraId="685226AF" w14:textId="77777777" w:rsidR="001F1B7C" w:rsidRDefault="001F1B7C" w:rsidP="001F1B7C">
      <w:pPr>
        <w:pStyle w:val="Para"/>
      </w:pPr>
    </w:p>
    <w:p w14:paraId="6C8AB0A4" w14:textId="0CF219C3" w:rsidR="001F1B7C" w:rsidRPr="00D3452E" w:rsidRDefault="001F1B7C" w:rsidP="001F1B7C">
      <w:pPr>
        <w:pStyle w:val="Para"/>
      </w:pPr>
      <w:r w:rsidRPr="00D3452E">
        <w:rPr>
          <w:b/>
          <w:lang w:bidi="fr-FR"/>
        </w:rPr>
        <w:t>Principe 8.</w:t>
      </w:r>
      <w:r w:rsidRPr="00D3452E">
        <w:rPr>
          <w:lang w:bidi="fr-FR"/>
        </w:rPr>
        <w:t xml:space="preserve"> </w:t>
      </w:r>
      <w:r w:rsidRPr="00D3452E">
        <w:rPr>
          <w:b/>
          <w:lang w:bidi="fr-FR"/>
        </w:rPr>
        <w:t xml:space="preserve">Donner aux </w:t>
      </w:r>
      <w:proofErr w:type="spellStart"/>
      <w:r w:rsidRPr="00D3452E">
        <w:rPr>
          <w:b/>
          <w:lang w:bidi="fr-FR"/>
        </w:rPr>
        <w:t>enseignant·e·s</w:t>
      </w:r>
      <w:proofErr w:type="spellEnd"/>
      <w:r w:rsidRPr="00D3452E">
        <w:rPr>
          <w:b/>
          <w:lang w:bidi="fr-FR"/>
        </w:rPr>
        <w:t xml:space="preserve"> les moyens d</w:t>
      </w:r>
      <w:r w:rsidR="001E584B">
        <w:rPr>
          <w:b/>
          <w:lang w:bidi="fr-FR"/>
        </w:rPr>
        <w:t>’</w:t>
      </w:r>
      <w:r w:rsidRPr="00D3452E">
        <w:rPr>
          <w:b/>
          <w:lang w:bidi="fr-FR"/>
        </w:rPr>
        <w:t xml:space="preserve">exercer leur professionnalisme et leur offrir des opportunités de formation professionnelle. </w:t>
      </w:r>
    </w:p>
    <w:p w14:paraId="1FA76D01" w14:textId="34C6CDDF" w:rsidR="001F1B7C" w:rsidRPr="00D3452E" w:rsidRDefault="001F1B7C" w:rsidP="001F1B7C">
      <w:pPr>
        <w:pStyle w:val="Para"/>
      </w:pPr>
      <w:r w:rsidRPr="00D3452E">
        <w:rPr>
          <w:lang w:bidi="fr-FR"/>
        </w:rPr>
        <w:t>Un grand nombre d</w:t>
      </w:r>
      <w:r w:rsidR="001E584B">
        <w:rPr>
          <w:lang w:bidi="fr-FR"/>
        </w:rPr>
        <w:t>’</w:t>
      </w:r>
      <w:proofErr w:type="spellStart"/>
      <w:r w:rsidRPr="00D3452E">
        <w:rPr>
          <w:lang w:bidi="fr-FR"/>
        </w:rPr>
        <w:t>enseignant·e·s</w:t>
      </w:r>
      <w:proofErr w:type="spellEnd"/>
      <w:r w:rsidRPr="00D3452E">
        <w:rPr>
          <w:lang w:bidi="fr-FR"/>
        </w:rPr>
        <w:t xml:space="preserve"> ont répondu à la pandémie en assurant en temps opportun leur propre développement professionnel, malgré le fait que, avant la pandémie, leur point de vue était que l</w:t>
      </w:r>
      <w:r w:rsidR="001E584B">
        <w:rPr>
          <w:lang w:bidi="fr-FR"/>
        </w:rPr>
        <w:t>’</w:t>
      </w:r>
      <w:r w:rsidRPr="00D3452E">
        <w:rPr>
          <w:lang w:bidi="fr-FR"/>
        </w:rPr>
        <w:t>utilisation de la technologie dans le cadre de l</w:t>
      </w:r>
      <w:r w:rsidR="001E584B">
        <w:rPr>
          <w:lang w:bidi="fr-FR"/>
        </w:rPr>
        <w:t>’</w:t>
      </w:r>
      <w:r w:rsidRPr="00D3452E">
        <w:rPr>
          <w:lang w:bidi="fr-FR"/>
        </w:rPr>
        <w:t>enseignement représentait une priorité majeure pour leur développement professionnel. Un grand nombre d</w:t>
      </w:r>
      <w:r w:rsidR="001E584B">
        <w:rPr>
          <w:lang w:bidi="fr-FR"/>
        </w:rPr>
        <w:t>’</w:t>
      </w:r>
      <w:r w:rsidRPr="00D3452E">
        <w:rPr>
          <w:lang w:bidi="fr-FR"/>
        </w:rPr>
        <w:t>engagements innovants et créatifs pour l</w:t>
      </w:r>
      <w:r w:rsidR="001E584B">
        <w:rPr>
          <w:lang w:bidi="fr-FR"/>
        </w:rPr>
        <w:t>’</w:t>
      </w:r>
      <w:r w:rsidRPr="00D3452E">
        <w:rPr>
          <w:lang w:bidi="fr-FR"/>
        </w:rPr>
        <w:t xml:space="preserve">apprentissage ont vu leur jour, mettant en lumière le potentiel futur des approches pédagogiques basées sur les TI. Autre leçon à tirer de la pandémie, les </w:t>
      </w:r>
      <w:proofErr w:type="spellStart"/>
      <w:r w:rsidRPr="00D3452E">
        <w:rPr>
          <w:lang w:bidi="fr-FR"/>
        </w:rPr>
        <w:t>enseignant·e·s</w:t>
      </w:r>
      <w:proofErr w:type="spellEnd"/>
      <w:r w:rsidRPr="00D3452E">
        <w:rPr>
          <w:lang w:bidi="fr-FR"/>
        </w:rPr>
        <w:t xml:space="preserve"> ont besoin de se sentir </w:t>
      </w:r>
      <w:proofErr w:type="spellStart"/>
      <w:r w:rsidRPr="00D3452E">
        <w:rPr>
          <w:lang w:bidi="fr-FR"/>
        </w:rPr>
        <w:t>habilité·e·s</w:t>
      </w:r>
      <w:proofErr w:type="spellEnd"/>
      <w:r w:rsidRPr="00D3452E">
        <w:rPr>
          <w:lang w:bidi="fr-FR"/>
        </w:rPr>
        <w:t xml:space="preserve"> à exercer leur professionnalisme pour l</w:t>
      </w:r>
      <w:r w:rsidR="001E584B">
        <w:rPr>
          <w:lang w:bidi="fr-FR"/>
        </w:rPr>
        <w:t>’</w:t>
      </w:r>
      <w:r w:rsidRPr="00D3452E">
        <w:rPr>
          <w:lang w:bidi="fr-FR"/>
        </w:rPr>
        <w:t>utilisation des technologies dans le cadre de leur enseignement. Cela suppose également l</w:t>
      </w:r>
      <w:r w:rsidR="001E584B">
        <w:rPr>
          <w:lang w:bidi="fr-FR"/>
        </w:rPr>
        <w:t>’</w:t>
      </w:r>
      <w:r w:rsidRPr="00D3452E">
        <w:rPr>
          <w:lang w:bidi="fr-FR"/>
        </w:rPr>
        <w:t xml:space="preserve">intégration de la technologie dans tous les programmes de formation des </w:t>
      </w:r>
      <w:proofErr w:type="spellStart"/>
      <w:r w:rsidRPr="00D3452E">
        <w:rPr>
          <w:lang w:bidi="fr-FR"/>
        </w:rPr>
        <w:t>enseignant·e·s</w:t>
      </w:r>
      <w:proofErr w:type="spellEnd"/>
      <w:r w:rsidRPr="00D3452E">
        <w:rPr>
          <w:lang w:bidi="fr-FR"/>
        </w:rPr>
        <w:t>, des plateformes plus collaboratives et des projets d</w:t>
      </w:r>
      <w:r w:rsidR="001E584B">
        <w:rPr>
          <w:lang w:bidi="fr-FR"/>
        </w:rPr>
        <w:t>’</w:t>
      </w:r>
      <w:r w:rsidRPr="00D3452E">
        <w:rPr>
          <w:lang w:bidi="fr-FR"/>
        </w:rPr>
        <w:t xml:space="preserve">apprentissage professionnel permettant aux </w:t>
      </w:r>
      <w:proofErr w:type="spellStart"/>
      <w:r w:rsidRPr="00D3452E">
        <w:rPr>
          <w:lang w:bidi="fr-FR"/>
        </w:rPr>
        <w:t>enseignant·e·s</w:t>
      </w:r>
      <w:proofErr w:type="spellEnd"/>
      <w:r w:rsidRPr="00D3452E">
        <w:rPr>
          <w:lang w:bidi="fr-FR"/>
        </w:rPr>
        <w:t xml:space="preserve"> de développer leurs compétences pédagogiques numériques via un processus d</w:t>
      </w:r>
      <w:r w:rsidR="001E584B">
        <w:rPr>
          <w:lang w:bidi="fr-FR"/>
        </w:rPr>
        <w:t>’</w:t>
      </w:r>
      <w:r w:rsidRPr="00D3452E">
        <w:rPr>
          <w:lang w:bidi="fr-FR"/>
        </w:rPr>
        <w:t>apprentissage par les pairs. La plupart des syndicats ont assuré le développement professionnel de leurs membres virtuellement durant la pandémie, reflétant ainsi une de leurs activités fondamentales, celle qui consiste à proposer des formations efficaces et particulièrement utiles.</w:t>
      </w:r>
    </w:p>
    <w:p w14:paraId="750D88B7" w14:textId="5D03B2E2" w:rsidR="001F1B7C" w:rsidRDefault="001F1B7C" w:rsidP="001F1B7C">
      <w:pPr>
        <w:pStyle w:val="Para"/>
      </w:pPr>
      <w:r w:rsidRPr="00D3452E">
        <w:rPr>
          <w:lang w:bidi="fr-FR"/>
        </w:rPr>
        <w:t xml:space="preserve">Cette leçon a des implications plus larges pour la profession enseignante. Les juridictions et les autorités éducatives, en collaboration avec </w:t>
      </w:r>
      <w:proofErr w:type="gramStart"/>
      <w:r w:rsidRPr="00D3452E">
        <w:rPr>
          <w:lang w:bidi="fr-FR"/>
        </w:rPr>
        <w:t xml:space="preserve">les </w:t>
      </w:r>
      <w:proofErr w:type="spellStart"/>
      <w:r w:rsidRPr="00D3452E">
        <w:rPr>
          <w:lang w:bidi="fr-FR"/>
        </w:rPr>
        <w:t>enseignant</w:t>
      </w:r>
      <w:proofErr w:type="gramEnd"/>
      <w:r w:rsidRPr="00D3452E">
        <w:rPr>
          <w:lang w:bidi="fr-FR"/>
        </w:rPr>
        <w:t>·e·s</w:t>
      </w:r>
      <w:proofErr w:type="spellEnd"/>
      <w:r w:rsidRPr="00D3452E">
        <w:rPr>
          <w:lang w:bidi="fr-FR"/>
        </w:rPr>
        <w:t>, leurs organisations et toute autre partie prenante pertinente, d</w:t>
      </w:r>
      <w:r w:rsidR="00D73F24">
        <w:rPr>
          <w:lang w:bidi="fr-FR"/>
        </w:rPr>
        <w:t>oiv</w:t>
      </w:r>
      <w:r w:rsidRPr="00D3452E">
        <w:rPr>
          <w:lang w:bidi="fr-FR"/>
        </w:rPr>
        <w:t xml:space="preserve">ent envisager une stratégie systémique pour la formation et le développement professionnel des </w:t>
      </w:r>
      <w:proofErr w:type="spellStart"/>
      <w:r w:rsidRPr="00D3452E">
        <w:rPr>
          <w:lang w:bidi="fr-FR"/>
        </w:rPr>
        <w:t>enseignant·e·s</w:t>
      </w:r>
      <w:proofErr w:type="spellEnd"/>
      <w:r w:rsidRPr="00D3452E">
        <w:rPr>
          <w:lang w:bidi="fr-FR"/>
        </w:rPr>
        <w:t xml:space="preserve">, basée sur les enseignements tirés de la pandémie. Ceci devrait amener à ce que les multiples rôles professionnels des </w:t>
      </w:r>
      <w:proofErr w:type="spellStart"/>
      <w:r w:rsidRPr="00D3452E">
        <w:rPr>
          <w:lang w:bidi="fr-FR"/>
        </w:rPr>
        <w:t>enseignant·e·s</w:t>
      </w:r>
      <w:proofErr w:type="spellEnd"/>
      <w:r w:rsidRPr="00D3452E">
        <w:rPr>
          <w:lang w:bidi="fr-FR"/>
        </w:rPr>
        <w:t xml:space="preserve">, à la fois </w:t>
      </w:r>
      <w:proofErr w:type="spellStart"/>
      <w:r w:rsidRPr="00D3452E">
        <w:rPr>
          <w:lang w:bidi="fr-FR"/>
        </w:rPr>
        <w:t>instructeur·rice·s</w:t>
      </w:r>
      <w:proofErr w:type="spellEnd"/>
      <w:r w:rsidRPr="00D3452E">
        <w:rPr>
          <w:lang w:bidi="fr-FR"/>
        </w:rPr>
        <w:t xml:space="preserve">, </w:t>
      </w:r>
      <w:proofErr w:type="spellStart"/>
      <w:r w:rsidRPr="00D3452E">
        <w:rPr>
          <w:lang w:bidi="fr-FR"/>
        </w:rPr>
        <w:t>entraîneur·euse·s</w:t>
      </w:r>
      <w:proofErr w:type="spellEnd"/>
      <w:r w:rsidRPr="00D3452E">
        <w:rPr>
          <w:lang w:bidi="fr-FR"/>
        </w:rPr>
        <w:t xml:space="preserve">, </w:t>
      </w:r>
      <w:proofErr w:type="spellStart"/>
      <w:r w:rsidRPr="00D3452E">
        <w:rPr>
          <w:lang w:bidi="fr-FR"/>
        </w:rPr>
        <w:t>accompagnateur·rice·s</w:t>
      </w:r>
      <w:proofErr w:type="spellEnd"/>
      <w:r w:rsidRPr="00D3452E">
        <w:rPr>
          <w:lang w:bidi="fr-FR"/>
        </w:rPr>
        <w:t xml:space="preserve">, pairs et </w:t>
      </w:r>
      <w:proofErr w:type="spellStart"/>
      <w:r w:rsidRPr="00D3452E">
        <w:rPr>
          <w:lang w:bidi="fr-FR"/>
        </w:rPr>
        <w:t>facilitateur·rice·s</w:t>
      </w:r>
      <w:proofErr w:type="spellEnd"/>
      <w:r w:rsidRPr="00D3452E">
        <w:rPr>
          <w:lang w:bidi="fr-FR"/>
        </w:rPr>
        <w:t xml:space="preserve">, soient pleinement reconnus, récompensés et acceptés. En tant </w:t>
      </w:r>
      <w:r w:rsidR="001E584B">
        <w:rPr>
          <w:lang w:bidi="fr-FR"/>
        </w:rPr>
        <w:t xml:space="preserve">que </w:t>
      </w:r>
      <w:proofErr w:type="spellStart"/>
      <w:r w:rsidRPr="00D3452E">
        <w:rPr>
          <w:lang w:bidi="fr-FR"/>
        </w:rPr>
        <w:t>principaux·ales</w:t>
      </w:r>
      <w:proofErr w:type="spellEnd"/>
      <w:r w:rsidRPr="00D3452E">
        <w:rPr>
          <w:lang w:bidi="fr-FR"/>
        </w:rPr>
        <w:t xml:space="preserve"> </w:t>
      </w:r>
      <w:proofErr w:type="spellStart"/>
      <w:r w:rsidRPr="00D3452E">
        <w:rPr>
          <w:lang w:bidi="fr-FR"/>
        </w:rPr>
        <w:t>agent·e·s</w:t>
      </w:r>
      <w:proofErr w:type="spellEnd"/>
      <w:r w:rsidRPr="00D3452E">
        <w:rPr>
          <w:lang w:bidi="fr-FR"/>
        </w:rPr>
        <w:t xml:space="preserve"> </w:t>
      </w:r>
      <w:proofErr w:type="spellStart"/>
      <w:r w:rsidRPr="00D3452E">
        <w:rPr>
          <w:lang w:bidi="fr-FR"/>
        </w:rPr>
        <w:t>actif·ive·s</w:t>
      </w:r>
      <w:proofErr w:type="spellEnd"/>
      <w:r w:rsidRPr="00D3452E">
        <w:rPr>
          <w:lang w:bidi="fr-FR"/>
        </w:rPr>
        <w:t xml:space="preserve"> du changement, les </w:t>
      </w:r>
      <w:proofErr w:type="spellStart"/>
      <w:r w:rsidRPr="00D3452E">
        <w:rPr>
          <w:lang w:bidi="fr-FR"/>
        </w:rPr>
        <w:lastRenderedPageBreak/>
        <w:t>enseignant·e·s</w:t>
      </w:r>
      <w:proofErr w:type="spellEnd"/>
      <w:r w:rsidRPr="00D3452E">
        <w:rPr>
          <w:lang w:bidi="fr-FR"/>
        </w:rPr>
        <w:t xml:space="preserve"> et les responsables d</w:t>
      </w:r>
      <w:r w:rsidR="001E584B">
        <w:rPr>
          <w:lang w:bidi="fr-FR"/>
        </w:rPr>
        <w:t>’</w:t>
      </w:r>
      <w:r w:rsidRPr="00D3452E">
        <w:rPr>
          <w:lang w:bidi="fr-FR"/>
        </w:rPr>
        <w:t xml:space="preserve">établissement scolaire peuvent créer </w:t>
      </w:r>
      <w:proofErr w:type="spellStart"/>
      <w:r w:rsidRPr="00D3452E">
        <w:rPr>
          <w:lang w:bidi="fr-FR"/>
        </w:rPr>
        <w:t>eux·elles-mêmes</w:t>
      </w:r>
      <w:proofErr w:type="spellEnd"/>
      <w:r w:rsidRPr="00D3452E">
        <w:rPr>
          <w:lang w:bidi="fr-FR"/>
        </w:rPr>
        <w:t xml:space="preserve"> un environnement professionnel laissant une place à l</w:t>
      </w:r>
      <w:r w:rsidR="001E584B">
        <w:rPr>
          <w:lang w:bidi="fr-FR"/>
        </w:rPr>
        <w:t>’</w:t>
      </w:r>
      <w:r w:rsidRPr="00D3452E">
        <w:rPr>
          <w:lang w:bidi="fr-FR"/>
        </w:rPr>
        <w:t>exercice de leur autonomie, à la collaboration avec les pairs et à l</w:t>
      </w:r>
      <w:r w:rsidR="001E584B">
        <w:rPr>
          <w:lang w:bidi="fr-FR"/>
        </w:rPr>
        <w:t>’</w:t>
      </w:r>
      <w:r w:rsidRPr="00D3452E">
        <w:rPr>
          <w:lang w:bidi="fr-FR"/>
        </w:rPr>
        <w:t>apprentissage professionnel continu.</w:t>
      </w:r>
    </w:p>
    <w:p w14:paraId="398FBA4C" w14:textId="77777777" w:rsidR="001F1B7C" w:rsidRPr="00D3452E" w:rsidRDefault="001F1B7C" w:rsidP="001F1B7C">
      <w:pPr>
        <w:pStyle w:val="Para"/>
      </w:pPr>
    </w:p>
    <w:p w14:paraId="2342CE04" w14:textId="79F36129" w:rsidR="001F1B7C" w:rsidRPr="00D3452E" w:rsidRDefault="001F1B7C" w:rsidP="001F1B7C">
      <w:pPr>
        <w:pStyle w:val="Para"/>
      </w:pPr>
      <w:r w:rsidRPr="00D3452E">
        <w:rPr>
          <w:b/>
          <w:lang w:bidi="fr-FR"/>
        </w:rPr>
        <w:t>Principe 9.</w:t>
      </w:r>
      <w:r w:rsidRPr="00D3452E">
        <w:rPr>
          <w:lang w:bidi="fr-FR"/>
        </w:rPr>
        <w:t xml:space="preserve"> </w:t>
      </w:r>
      <w:r w:rsidRPr="00D3452E">
        <w:rPr>
          <w:b/>
          <w:lang w:bidi="fr-FR"/>
        </w:rPr>
        <w:t>Encourager une culture collaborative de l</w:t>
      </w:r>
      <w:r w:rsidR="001E584B">
        <w:rPr>
          <w:b/>
          <w:lang w:bidi="fr-FR"/>
        </w:rPr>
        <w:t>’</w:t>
      </w:r>
      <w:r w:rsidRPr="00D3452E">
        <w:rPr>
          <w:b/>
          <w:lang w:bidi="fr-FR"/>
        </w:rPr>
        <w:t xml:space="preserve">innovation en partenariat avec les communautés scolaires. </w:t>
      </w:r>
    </w:p>
    <w:p w14:paraId="54E63AE8" w14:textId="61EE16B0" w:rsidR="001F1B7C" w:rsidRDefault="001F1B7C" w:rsidP="001F1B7C">
      <w:pPr>
        <w:pStyle w:val="Para"/>
      </w:pPr>
      <w:r w:rsidRPr="00D3452E">
        <w:rPr>
          <w:lang w:bidi="fr-FR"/>
        </w:rPr>
        <w:t>De nombreux enseignements peuvent être tirés des partenariats innovants et collaboratifs entre les gouvernements, la profession enseignante au niveau de l</w:t>
      </w:r>
      <w:r w:rsidR="001E584B">
        <w:rPr>
          <w:lang w:bidi="fr-FR"/>
        </w:rPr>
        <w:t>’</w:t>
      </w:r>
      <w:r w:rsidRPr="00D3452E">
        <w:rPr>
          <w:lang w:bidi="fr-FR"/>
        </w:rPr>
        <w:t>école, les organisations qui la représentent et les autres parties prenantes de l</w:t>
      </w:r>
      <w:r w:rsidR="001E584B">
        <w:rPr>
          <w:lang w:bidi="fr-FR"/>
        </w:rPr>
        <w:t>’</w:t>
      </w:r>
      <w:r w:rsidRPr="00D3452E">
        <w:rPr>
          <w:lang w:bidi="fr-FR"/>
        </w:rPr>
        <w:t>éducation qui ont vu le jour durant la pandémie. L</w:t>
      </w:r>
      <w:r w:rsidR="001E584B">
        <w:rPr>
          <w:lang w:bidi="fr-FR"/>
        </w:rPr>
        <w:t>’</w:t>
      </w:r>
      <w:r w:rsidRPr="00D3452E">
        <w:rPr>
          <w:lang w:bidi="fr-FR"/>
        </w:rPr>
        <w:t>esprit de ces partenariats doit se poursuivre et évoluer vers une culture de l</w:t>
      </w:r>
      <w:r w:rsidR="001E584B">
        <w:rPr>
          <w:lang w:bidi="fr-FR"/>
        </w:rPr>
        <w:t>’</w:t>
      </w:r>
      <w:r w:rsidRPr="00D3452E">
        <w:rPr>
          <w:lang w:bidi="fr-FR"/>
        </w:rPr>
        <w:t>innovation résultant de la crise, avec la même approche ouverte et constructive pour améliorer les résultats scolaires et l</w:t>
      </w:r>
      <w:r w:rsidR="001E584B">
        <w:rPr>
          <w:lang w:bidi="fr-FR"/>
        </w:rPr>
        <w:t>’</w:t>
      </w:r>
      <w:r w:rsidRPr="00D3452E">
        <w:rPr>
          <w:lang w:bidi="fr-FR"/>
        </w:rPr>
        <w:t xml:space="preserve">équité pour </w:t>
      </w:r>
      <w:proofErr w:type="spellStart"/>
      <w:r w:rsidRPr="00D3452E">
        <w:rPr>
          <w:lang w:bidi="fr-FR"/>
        </w:rPr>
        <w:t>tou·te·s</w:t>
      </w:r>
      <w:proofErr w:type="spellEnd"/>
      <w:r w:rsidRPr="00D3452E">
        <w:rPr>
          <w:lang w:bidi="fr-FR"/>
        </w:rPr>
        <w:t>. Une culture de l</w:t>
      </w:r>
      <w:r w:rsidR="001E584B">
        <w:rPr>
          <w:lang w:bidi="fr-FR"/>
        </w:rPr>
        <w:t>’</w:t>
      </w:r>
      <w:r w:rsidRPr="00D3452E">
        <w:rPr>
          <w:lang w:bidi="fr-FR"/>
        </w:rPr>
        <w:t>innovation repose sur l</w:t>
      </w:r>
      <w:r w:rsidR="001E584B">
        <w:rPr>
          <w:lang w:bidi="fr-FR"/>
        </w:rPr>
        <w:t>’</w:t>
      </w:r>
      <w:r w:rsidRPr="00D3452E">
        <w:rPr>
          <w:lang w:bidi="fr-FR"/>
        </w:rPr>
        <w:t>apprentissage au niveau individuel, organisationnel et systémique, impliquant des processus d</w:t>
      </w:r>
      <w:r w:rsidR="001E584B">
        <w:rPr>
          <w:lang w:bidi="fr-FR"/>
        </w:rPr>
        <w:t>’</w:t>
      </w:r>
      <w:r w:rsidRPr="00D3452E">
        <w:rPr>
          <w:lang w:bidi="fr-FR"/>
        </w:rPr>
        <w:t>aval en amont et d</w:t>
      </w:r>
      <w:r w:rsidR="001E584B">
        <w:rPr>
          <w:lang w:bidi="fr-FR"/>
        </w:rPr>
        <w:t>’</w:t>
      </w:r>
      <w:r w:rsidRPr="00D3452E">
        <w:rPr>
          <w:lang w:bidi="fr-FR"/>
        </w:rPr>
        <w:t>amont en aval, ainsi qu</w:t>
      </w:r>
      <w:r w:rsidR="001E584B">
        <w:rPr>
          <w:lang w:bidi="fr-FR"/>
        </w:rPr>
        <w:t>’</w:t>
      </w:r>
      <w:r w:rsidRPr="00D3452E">
        <w:rPr>
          <w:lang w:bidi="fr-FR"/>
        </w:rPr>
        <w:t>une collaboration et un apprentissage ciblés. En présence d</w:t>
      </w:r>
      <w:r w:rsidR="001E584B">
        <w:rPr>
          <w:lang w:bidi="fr-FR"/>
        </w:rPr>
        <w:t>’</w:t>
      </w:r>
      <w:r w:rsidRPr="00D3452E">
        <w:rPr>
          <w:lang w:bidi="fr-FR"/>
        </w:rPr>
        <w:t>une direction efficace, l</w:t>
      </w:r>
      <w:r w:rsidR="001E584B">
        <w:rPr>
          <w:lang w:bidi="fr-FR"/>
        </w:rPr>
        <w:t>’</w:t>
      </w:r>
      <w:r w:rsidRPr="00D3452E">
        <w:rPr>
          <w:lang w:bidi="fr-FR"/>
        </w:rPr>
        <w:t xml:space="preserve">autonomie professionnelle, les ressources de soutien et la collaboration permettent ensemble de garantir que les bonnes pratiques deviennent une culture au sein des systèmes. Les juridictions et les autorités éducatives doivent considérer les </w:t>
      </w:r>
      <w:proofErr w:type="spellStart"/>
      <w:r w:rsidRPr="00D3452E">
        <w:rPr>
          <w:lang w:bidi="fr-FR"/>
        </w:rPr>
        <w:t>enseignant·e·s</w:t>
      </w:r>
      <w:proofErr w:type="spellEnd"/>
      <w:r w:rsidRPr="00D3452E">
        <w:rPr>
          <w:lang w:bidi="fr-FR"/>
        </w:rPr>
        <w:t>, le personnel de soutien et leurs organisations comme des partenaires à part entière dans la création des conditions propices à la relance et dans le maintien de cette culture de l</w:t>
      </w:r>
      <w:r w:rsidR="001E584B">
        <w:rPr>
          <w:lang w:bidi="fr-FR"/>
        </w:rPr>
        <w:t>’</w:t>
      </w:r>
      <w:r w:rsidRPr="00D3452E">
        <w:rPr>
          <w:lang w:bidi="fr-FR"/>
        </w:rPr>
        <w:t>innovation. Certains aspects de cette culture de l</w:t>
      </w:r>
      <w:r w:rsidR="001E584B">
        <w:rPr>
          <w:lang w:bidi="fr-FR"/>
        </w:rPr>
        <w:t>’</w:t>
      </w:r>
      <w:r w:rsidRPr="00D3452E">
        <w:rPr>
          <w:lang w:bidi="fr-FR"/>
        </w:rPr>
        <w:t>innovation pouvant être étudiés en collaboration à l</w:t>
      </w:r>
      <w:r w:rsidR="001E584B">
        <w:rPr>
          <w:lang w:bidi="fr-FR"/>
        </w:rPr>
        <w:t>’</w:t>
      </w:r>
      <w:r w:rsidRPr="00D3452E">
        <w:rPr>
          <w:lang w:bidi="fr-FR"/>
        </w:rPr>
        <w:t>échelle nationale et internationale pourraient être axés sur les points suivants : nouvelles façons de combiner enseignement et apprentissage présentiels et distanciels, nouvelles approches de l</w:t>
      </w:r>
      <w:r w:rsidR="001E584B">
        <w:rPr>
          <w:lang w:bidi="fr-FR"/>
        </w:rPr>
        <w:t>’</w:t>
      </w:r>
      <w:r w:rsidRPr="00D3452E">
        <w:rPr>
          <w:lang w:bidi="fr-FR"/>
        </w:rPr>
        <w:t xml:space="preserve">organisation de la scolarisation et de la conception du rôle des </w:t>
      </w:r>
      <w:proofErr w:type="spellStart"/>
      <w:r w:rsidRPr="00D3452E">
        <w:rPr>
          <w:lang w:bidi="fr-FR"/>
        </w:rPr>
        <w:t>enseignant·e·s</w:t>
      </w:r>
      <w:proofErr w:type="spellEnd"/>
      <w:r w:rsidRPr="00D3452E">
        <w:rPr>
          <w:lang w:bidi="fr-FR"/>
        </w:rPr>
        <w:t>, nouvelles façons d</w:t>
      </w:r>
      <w:r w:rsidR="001E584B">
        <w:rPr>
          <w:lang w:bidi="fr-FR"/>
        </w:rPr>
        <w:t>’</w:t>
      </w:r>
      <w:r w:rsidRPr="00D3452E">
        <w:rPr>
          <w:lang w:bidi="fr-FR"/>
        </w:rPr>
        <w:t>intégrer la technologie afin d</w:t>
      </w:r>
      <w:r w:rsidR="001E584B">
        <w:rPr>
          <w:lang w:bidi="fr-FR"/>
        </w:rPr>
        <w:t>’</w:t>
      </w:r>
      <w:r w:rsidRPr="00D3452E">
        <w:rPr>
          <w:lang w:bidi="fr-FR"/>
        </w:rPr>
        <w:t xml:space="preserve">offrir aux </w:t>
      </w:r>
      <w:proofErr w:type="spellStart"/>
      <w:r w:rsidRPr="00D3452E">
        <w:rPr>
          <w:lang w:bidi="fr-FR"/>
        </w:rPr>
        <w:t>enseignant·e·s</w:t>
      </w:r>
      <w:proofErr w:type="spellEnd"/>
      <w:r w:rsidRPr="00D3452E">
        <w:rPr>
          <w:lang w:bidi="fr-FR"/>
        </w:rPr>
        <w:t xml:space="preserve"> plus de temps pour mieux soutenir l</w:t>
      </w:r>
      <w:r w:rsidR="001E584B">
        <w:rPr>
          <w:lang w:bidi="fr-FR"/>
        </w:rPr>
        <w:t>’</w:t>
      </w:r>
      <w:r w:rsidRPr="00D3452E">
        <w:rPr>
          <w:lang w:bidi="fr-FR"/>
        </w:rPr>
        <w:t>apprentissage cognitif et socio-émotionnel de leurs élèves.</w:t>
      </w:r>
    </w:p>
    <w:p w14:paraId="1F6EACC0" w14:textId="77777777" w:rsidR="001F1B7C" w:rsidRPr="00D3452E" w:rsidRDefault="001F1B7C" w:rsidP="001F1B7C">
      <w:pPr>
        <w:pStyle w:val="Para"/>
      </w:pPr>
    </w:p>
    <w:p w14:paraId="73E60CC0" w14:textId="77777777" w:rsidR="001F1B7C" w:rsidRPr="00D3452E" w:rsidRDefault="001F1B7C" w:rsidP="001F1B7C">
      <w:pPr>
        <w:pStyle w:val="Para"/>
      </w:pPr>
      <w:r w:rsidRPr="00D3452E">
        <w:rPr>
          <w:b/>
          <w:lang w:bidi="fr-FR"/>
        </w:rPr>
        <w:t>Principe 10.</w:t>
      </w:r>
      <w:r w:rsidRPr="00D3452E">
        <w:rPr>
          <w:lang w:bidi="fr-FR"/>
        </w:rPr>
        <w:t xml:space="preserve"> </w:t>
      </w:r>
      <w:r w:rsidRPr="00D3452E">
        <w:rPr>
          <w:b/>
          <w:lang w:bidi="fr-FR"/>
        </w:rPr>
        <w:t xml:space="preserve">Tirer des enseignements des études nationales et internationales. </w:t>
      </w:r>
    </w:p>
    <w:p w14:paraId="5B841B22" w14:textId="7A08F334" w:rsidR="001F1B7C" w:rsidRPr="00D3452E" w:rsidRDefault="574B55CB" w:rsidP="001F1B7C">
      <w:pPr>
        <w:pStyle w:val="Para"/>
      </w:pPr>
      <w:r>
        <w:rPr>
          <w:lang w:bidi="fr-FR"/>
        </w:rPr>
        <w:t>Réussir la reprise de l</w:t>
      </w:r>
      <w:r w:rsidR="001E584B">
        <w:rPr>
          <w:lang w:bidi="fr-FR"/>
        </w:rPr>
        <w:t>’</w:t>
      </w:r>
      <w:r>
        <w:rPr>
          <w:lang w:bidi="fr-FR"/>
        </w:rPr>
        <w:t>éducation ne sera possible qu</w:t>
      </w:r>
      <w:r w:rsidR="001E584B">
        <w:rPr>
          <w:lang w:bidi="fr-FR"/>
        </w:rPr>
        <w:t>’</w:t>
      </w:r>
      <w:r>
        <w:rPr>
          <w:lang w:bidi="fr-FR"/>
        </w:rPr>
        <w:t>en appliquant les leçons tirées de la pandémie, une fois celle-ci terminée. Il est essentiel de pouvoir s</w:t>
      </w:r>
      <w:r w:rsidR="001E584B">
        <w:rPr>
          <w:lang w:bidi="fr-FR"/>
        </w:rPr>
        <w:t>’</w:t>
      </w:r>
      <w:r>
        <w:rPr>
          <w:lang w:bidi="fr-FR"/>
        </w:rPr>
        <w:t>appuyer sur ce qui a fonctionné et de ne pas reproduire les échecs. La relance doit être adaptée au nouveau contexte de l</w:t>
      </w:r>
      <w:r w:rsidR="001E584B">
        <w:rPr>
          <w:lang w:bidi="fr-FR"/>
        </w:rPr>
        <w:t>’</w:t>
      </w:r>
      <w:r>
        <w:rPr>
          <w:lang w:bidi="fr-FR"/>
        </w:rPr>
        <w:t>éducation dans le monde d</w:t>
      </w:r>
      <w:r w:rsidR="001E584B">
        <w:rPr>
          <w:lang w:bidi="fr-FR"/>
        </w:rPr>
        <w:t>’</w:t>
      </w:r>
      <w:r>
        <w:rPr>
          <w:lang w:bidi="fr-FR"/>
        </w:rPr>
        <w:t>après la pandémie, en veillant à bien comprendre les opportunités et les défis au lendemain de la crise sanitaire. Ces leçons doivent reposer sur des études fondées, émanant de diverses sources, qu</w:t>
      </w:r>
      <w:r w:rsidR="001E584B">
        <w:rPr>
          <w:lang w:bidi="fr-FR"/>
        </w:rPr>
        <w:t>’</w:t>
      </w:r>
      <w:r>
        <w:rPr>
          <w:lang w:bidi="fr-FR"/>
        </w:rPr>
        <w:t>il s</w:t>
      </w:r>
      <w:r w:rsidR="001E584B">
        <w:rPr>
          <w:lang w:bidi="fr-FR"/>
        </w:rPr>
        <w:t>’</w:t>
      </w:r>
      <w:r>
        <w:rPr>
          <w:lang w:bidi="fr-FR"/>
        </w:rPr>
        <w:t xml:space="preserve">agisse des élèves, des parents, des </w:t>
      </w:r>
      <w:proofErr w:type="spellStart"/>
      <w:r>
        <w:rPr>
          <w:lang w:bidi="fr-FR"/>
        </w:rPr>
        <w:t>enseignant·e·s</w:t>
      </w:r>
      <w:proofErr w:type="spellEnd"/>
      <w:r>
        <w:rPr>
          <w:lang w:bidi="fr-FR"/>
        </w:rPr>
        <w:t xml:space="preserve"> ou des responsables politiques, en appliquant des méthodologies à la fois qualitatives et quantitatives. La reprise de l</w:t>
      </w:r>
      <w:r w:rsidR="001E584B">
        <w:rPr>
          <w:lang w:bidi="fr-FR"/>
        </w:rPr>
        <w:t>’</w:t>
      </w:r>
      <w:r>
        <w:rPr>
          <w:lang w:bidi="fr-FR"/>
        </w:rPr>
        <w:t>éducation dépend de nombreux facteurs, mais l</w:t>
      </w:r>
      <w:r w:rsidR="001E584B">
        <w:rPr>
          <w:lang w:bidi="fr-FR"/>
        </w:rPr>
        <w:t>’</w:t>
      </w:r>
      <w:r>
        <w:rPr>
          <w:lang w:bidi="fr-FR"/>
        </w:rPr>
        <w:t>élément central consiste à bien comprendre pourquoi certaines stratégies ont fonctionné et d</w:t>
      </w:r>
      <w:r w:rsidR="001E584B">
        <w:rPr>
          <w:lang w:bidi="fr-FR"/>
        </w:rPr>
        <w:t>’</w:t>
      </w:r>
      <w:r>
        <w:rPr>
          <w:lang w:bidi="fr-FR"/>
        </w:rPr>
        <w:t>autres pas. Au sein des systèmes éducatifs, toutes les parties prenantes doivent intégrer et utiliser les études nationales et internationales pour assurer l</w:t>
      </w:r>
      <w:r w:rsidR="001E584B">
        <w:rPr>
          <w:lang w:bidi="fr-FR"/>
        </w:rPr>
        <w:t>’</w:t>
      </w:r>
      <w:r>
        <w:rPr>
          <w:lang w:bidi="fr-FR"/>
        </w:rPr>
        <w:t>amélioration continue de l</w:t>
      </w:r>
      <w:r w:rsidR="001E584B">
        <w:rPr>
          <w:lang w:bidi="fr-FR"/>
        </w:rPr>
        <w:t>’</w:t>
      </w:r>
      <w:r>
        <w:rPr>
          <w:lang w:bidi="fr-FR"/>
        </w:rPr>
        <w:t>éducation et de l</w:t>
      </w:r>
      <w:r w:rsidR="001E584B">
        <w:rPr>
          <w:lang w:bidi="fr-FR"/>
        </w:rPr>
        <w:t>’</w:t>
      </w:r>
      <w:r>
        <w:rPr>
          <w:lang w:bidi="fr-FR"/>
        </w:rPr>
        <w:t xml:space="preserve">apprentissage, auxquelles </w:t>
      </w:r>
      <w:r w:rsidR="006673A3">
        <w:rPr>
          <w:lang w:bidi="fr-FR"/>
        </w:rPr>
        <w:t xml:space="preserve">doivent </w:t>
      </w:r>
      <w:r>
        <w:rPr>
          <w:lang w:bidi="fr-FR"/>
        </w:rPr>
        <w:t>s</w:t>
      </w:r>
      <w:r w:rsidR="001E584B">
        <w:rPr>
          <w:lang w:bidi="fr-FR"/>
        </w:rPr>
        <w:t>’</w:t>
      </w:r>
      <w:r>
        <w:rPr>
          <w:lang w:bidi="fr-FR"/>
        </w:rPr>
        <w:t>ajouter les données factuelles tirées des réformes de l</w:t>
      </w:r>
      <w:r w:rsidR="001E584B">
        <w:rPr>
          <w:lang w:bidi="fr-FR"/>
        </w:rPr>
        <w:t>’</w:t>
      </w:r>
      <w:r>
        <w:rPr>
          <w:lang w:bidi="fr-FR"/>
        </w:rPr>
        <w:t>éducation, des initiatives et des recherches menées dans d</w:t>
      </w:r>
      <w:r w:rsidR="001E584B">
        <w:rPr>
          <w:lang w:bidi="fr-FR"/>
        </w:rPr>
        <w:t>’</w:t>
      </w:r>
      <w:r>
        <w:rPr>
          <w:lang w:bidi="fr-FR"/>
        </w:rPr>
        <w:t>autres pays. Si les recherches dans le domaine de l</w:t>
      </w:r>
      <w:r w:rsidR="001E584B">
        <w:rPr>
          <w:lang w:bidi="fr-FR"/>
        </w:rPr>
        <w:t>’</w:t>
      </w:r>
      <w:r>
        <w:rPr>
          <w:lang w:bidi="fr-FR"/>
        </w:rPr>
        <w:t xml:space="preserve">éducation peuvent apporter aux </w:t>
      </w:r>
      <w:proofErr w:type="spellStart"/>
      <w:r>
        <w:rPr>
          <w:lang w:bidi="fr-FR"/>
        </w:rPr>
        <w:t>professionnel·le·s</w:t>
      </w:r>
      <w:proofErr w:type="spellEnd"/>
      <w:r>
        <w:rPr>
          <w:lang w:bidi="fr-FR"/>
        </w:rPr>
        <w:t xml:space="preserve"> et aux responsables politiques des éléments probants et solides pour démontrer ce qui fonctionne ou pourrait fonctionner, une leçon à tirer de la pandémie est que les systèmes éducatifs doivent renforcer et diversifier la collecte de leurs données et leurs processus d</w:t>
      </w:r>
      <w:r w:rsidR="001E584B">
        <w:rPr>
          <w:lang w:bidi="fr-FR"/>
        </w:rPr>
        <w:t>’</w:t>
      </w:r>
      <w:r>
        <w:rPr>
          <w:lang w:bidi="fr-FR"/>
        </w:rPr>
        <w:t>analyse pour pouvoir disposer plus rapidement d</w:t>
      </w:r>
      <w:r w:rsidR="001E584B">
        <w:rPr>
          <w:lang w:bidi="fr-FR"/>
        </w:rPr>
        <w:t>’</w:t>
      </w:r>
      <w:r>
        <w:rPr>
          <w:lang w:bidi="fr-FR"/>
        </w:rPr>
        <w:t>informations concernant l</w:t>
      </w:r>
      <w:r w:rsidR="001E584B">
        <w:rPr>
          <w:lang w:bidi="fr-FR"/>
        </w:rPr>
        <w:t>’</w:t>
      </w:r>
      <w:r>
        <w:rPr>
          <w:lang w:bidi="fr-FR"/>
        </w:rPr>
        <w:t xml:space="preserve">apprentissage des élèves, leur bien-être et celui des </w:t>
      </w:r>
      <w:proofErr w:type="spellStart"/>
      <w:r>
        <w:rPr>
          <w:lang w:bidi="fr-FR"/>
        </w:rPr>
        <w:t>enseignant·e·s</w:t>
      </w:r>
      <w:proofErr w:type="spellEnd"/>
      <w:r>
        <w:rPr>
          <w:lang w:bidi="fr-FR"/>
        </w:rPr>
        <w:t xml:space="preserve">, et mieux connaître les élèves </w:t>
      </w:r>
      <w:proofErr w:type="spellStart"/>
      <w:r>
        <w:rPr>
          <w:lang w:bidi="fr-FR"/>
        </w:rPr>
        <w:t>issu·e·s</w:t>
      </w:r>
      <w:proofErr w:type="spellEnd"/>
      <w:r>
        <w:rPr>
          <w:lang w:bidi="fr-FR"/>
        </w:rPr>
        <w:t xml:space="preserve"> de milieux défavorisés. Il sera essentiel de mesurer l</w:t>
      </w:r>
      <w:r w:rsidR="001E584B">
        <w:rPr>
          <w:lang w:bidi="fr-FR"/>
        </w:rPr>
        <w:t>’</w:t>
      </w:r>
      <w:r>
        <w:rPr>
          <w:lang w:bidi="fr-FR"/>
        </w:rPr>
        <w:t>efficacité des programmes de relance dans l</w:t>
      </w:r>
      <w:r w:rsidR="001E584B">
        <w:rPr>
          <w:lang w:bidi="fr-FR"/>
        </w:rPr>
        <w:t>’</w:t>
      </w:r>
      <w:r>
        <w:rPr>
          <w:lang w:bidi="fr-FR"/>
        </w:rPr>
        <w:t>ensemble du système, en impliquant tous les secteurs de l</w:t>
      </w:r>
      <w:r w:rsidR="001E584B">
        <w:rPr>
          <w:lang w:bidi="fr-FR"/>
        </w:rPr>
        <w:t>’</w:t>
      </w:r>
      <w:r>
        <w:rPr>
          <w:lang w:bidi="fr-FR"/>
        </w:rPr>
        <w:t>éducation et toutes les parties prenantes.</w:t>
      </w:r>
    </w:p>
    <w:p w14:paraId="4958304B" w14:textId="7239463A" w:rsidR="00237EA7" w:rsidRPr="00841948" w:rsidRDefault="00237EA7" w:rsidP="00841948">
      <w:pPr>
        <w:pStyle w:val="Para"/>
        <w:ind w:left="720"/>
        <w:rPr>
          <w:i/>
        </w:rPr>
      </w:pP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4553EE" w:rsidRPr="00E2226B" w14:paraId="6AAE227F" w14:textId="77777777" w:rsidTr="3BFB1DD4">
        <w:trPr>
          <w:jc w:val="center"/>
        </w:trPr>
        <w:tc>
          <w:tcPr>
            <w:tcW w:w="9309" w:type="dxa"/>
            <w:tcBorders>
              <w:top w:val="single" w:sz="4" w:space="0" w:color="4E81BD" w:themeColor="accent5"/>
              <w:left w:val="single" w:sz="4" w:space="0" w:color="4E81BD" w:themeColor="accent5"/>
              <w:bottom w:val="single" w:sz="4" w:space="0" w:color="4E81BD" w:themeColor="accent5"/>
              <w:right w:val="single" w:sz="4" w:space="0" w:color="4E81BD" w:themeColor="accent5"/>
            </w:tcBorders>
            <w:shd w:val="clear" w:color="auto" w:fill="EEECE1" w:themeFill="accent3"/>
          </w:tcPr>
          <w:p w14:paraId="76623B80" w14:textId="798A38FA" w:rsidR="004553EE" w:rsidRDefault="004553EE" w:rsidP="00304851">
            <w:pPr>
              <w:pStyle w:val="Caption"/>
            </w:pPr>
            <w:r w:rsidRPr="00B44A50">
              <w:rPr>
                <w:lang w:bidi="fr-FR"/>
              </w:rPr>
              <w:lastRenderedPageBreak/>
              <w:t>Encadré 2. IE : exemples d</w:t>
            </w:r>
            <w:r w:rsidR="001E584B">
              <w:rPr>
                <w:lang w:bidi="fr-FR"/>
              </w:rPr>
              <w:t>’</w:t>
            </w:r>
            <w:r w:rsidRPr="00B44A50">
              <w:rPr>
                <w:lang w:bidi="fr-FR"/>
              </w:rPr>
              <w:t>initiatives des organisations d</w:t>
            </w:r>
            <w:r w:rsidR="001E584B">
              <w:rPr>
                <w:lang w:bidi="fr-FR"/>
              </w:rPr>
              <w:t>’</w:t>
            </w:r>
            <w:proofErr w:type="spellStart"/>
            <w:r w:rsidRPr="00B44A50">
              <w:rPr>
                <w:lang w:bidi="fr-FR"/>
              </w:rPr>
              <w:t>enseignant·e·s</w:t>
            </w:r>
            <w:proofErr w:type="spellEnd"/>
            <w:r w:rsidRPr="00B44A50">
              <w:rPr>
                <w:lang w:bidi="fr-FR"/>
              </w:rPr>
              <w:t xml:space="preserve"> pour assurer la continuité et la relance de l</w:t>
            </w:r>
            <w:r w:rsidR="001E584B">
              <w:rPr>
                <w:lang w:bidi="fr-FR"/>
              </w:rPr>
              <w:t>’</w:t>
            </w:r>
            <w:r w:rsidRPr="00B44A50">
              <w:rPr>
                <w:lang w:bidi="fr-FR"/>
              </w:rPr>
              <w:t>éducation</w:t>
            </w:r>
          </w:p>
          <w:p w14:paraId="0B93BBFE" w14:textId="11C8660A" w:rsidR="00935246" w:rsidRDefault="004553EE" w:rsidP="00190848">
            <w:pPr>
              <w:pStyle w:val="Para"/>
            </w:pPr>
            <w:r w:rsidRPr="00935246">
              <w:rPr>
                <w:sz w:val="18"/>
                <w:szCs w:val="18"/>
                <w:lang w:bidi="fr-FR"/>
              </w:rPr>
              <w:t>Durant la pandémie, l</w:t>
            </w:r>
            <w:r w:rsidR="001E584B">
              <w:rPr>
                <w:sz w:val="18"/>
                <w:szCs w:val="18"/>
                <w:lang w:bidi="fr-FR"/>
              </w:rPr>
              <w:t>’</w:t>
            </w:r>
            <w:r w:rsidRPr="00935246">
              <w:rPr>
                <w:sz w:val="18"/>
                <w:szCs w:val="18"/>
                <w:lang w:bidi="fr-FR"/>
              </w:rPr>
              <w:t>IE et ses organisations membres se sont attelées à maintenir un accès équitable à l</w:t>
            </w:r>
            <w:r w:rsidR="001E584B">
              <w:rPr>
                <w:sz w:val="18"/>
                <w:szCs w:val="18"/>
                <w:lang w:bidi="fr-FR"/>
              </w:rPr>
              <w:t>’</w:t>
            </w:r>
            <w:r w:rsidRPr="00935246">
              <w:rPr>
                <w:sz w:val="18"/>
                <w:szCs w:val="18"/>
                <w:lang w:bidi="fr-FR"/>
              </w:rPr>
              <w:t xml:space="preserve">éducation pour </w:t>
            </w:r>
            <w:proofErr w:type="spellStart"/>
            <w:r w:rsidRPr="00935246">
              <w:rPr>
                <w:sz w:val="18"/>
                <w:szCs w:val="18"/>
                <w:lang w:bidi="fr-FR"/>
              </w:rPr>
              <w:t>tou·te·s</w:t>
            </w:r>
            <w:proofErr w:type="spellEnd"/>
            <w:r w:rsidRPr="00935246">
              <w:rPr>
                <w:sz w:val="18"/>
                <w:szCs w:val="18"/>
                <w:lang w:bidi="fr-FR"/>
              </w:rPr>
              <w:t xml:space="preserve"> les élèves. Quelques exemples d</w:t>
            </w:r>
            <w:r w:rsidR="001E584B">
              <w:rPr>
                <w:sz w:val="18"/>
                <w:szCs w:val="18"/>
                <w:lang w:bidi="fr-FR"/>
              </w:rPr>
              <w:t>’</w:t>
            </w:r>
            <w:r w:rsidRPr="00935246">
              <w:rPr>
                <w:sz w:val="18"/>
                <w:szCs w:val="18"/>
                <w:lang w:bidi="fr-FR"/>
              </w:rPr>
              <w:t>initiatives prises par l</w:t>
            </w:r>
            <w:r w:rsidR="001E584B">
              <w:rPr>
                <w:sz w:val="18"/>
                <w:szCs w:val="18"/>
                <w:lang w:bidi="fr-FR"/>
              </w:rPr>
              <w:t>’</w:t>
            </w:r>
            <w:r w:rsidRPr="00935246">
              <w:rPr>
                <w:sz w:val="18"/>
                <w:szCs w:val="18"/>
                <w:lang w:bidi="fr-FR"/>
              </w:rPr>
              <w:t xml:space="preserve">IE pour aider les </w:t>
            </w:r>
            <w:proofErr w:type="spellStart"/>
            <w:r w:rsidRPr="00935246">
              <w:rPr>
                <w:sz w:val="18"/>
                <w:szCs w:val="18"/>
                <w:lang w:bidi="fr-FR"/>
              </w:rPr>
              <w:t>enseignant·e·s</w:t>
            </w:r>
            <w:proofErr w:type="spellEnd"/>
            <w:r w:rsidRPr="00935246">
              <w:rPr>
                <w:sz w:val="18"/>
                <w:szCs w:val="18"/>
                <w:lang w:bidi="fr-FR"/>
              </w:rPr>
              <w:t xml:space="preserve"> et leurs organisations à faire face aux impacts de la pandémie sont présentés ci-après. L</w:t>
            </w:r>
            <w:r w:rsidR="001E584B">
              <w:rPr>
                <w:sz w:val="18"/>
                <w:szCs w:val="18"/>
                <w:lang w:bidi="fr-FR"/>
              </w:rPr>
              <w:t>’</w:t>
            </w:r>
            <w:r w:rsidRPr="00935246">
              <w:rPr>
                <w:sz w:val="18"/>
                <w:szCs w:val="18"/>
                <w:lang w:bidi="fr-FR"/>
              </w:rPr>
              <w:t xml:space="preserve">IE a commencé par mener une </w:t>
            </w:r>
            <w:hyperlink r:id="rId39" w:history="1">
              <w:r w:rsidRPr="00935246">
                <w:rPr>
                  <w:rStyle w:val="Hyperlink"/>
                  <w:sz w:val="18"/>
                  <w:szCs w:val="18"/>
                  <w:lang w:bidi="fr-FR"/>
                </w:rPr>
                <w:t>enquête</w:t>
              </w:r>
            </w:hyperlink>
            <w:r w:rsidRPr="00935246">
              <w:rPr>
                <w:sz w:val="18"/>
                <w:szCs w:val="18"/>
                <w:lang w:bidi="fr-FR"/>
              </w:rPr>
              <w:t xml:space="preserve"> pour connaître les réponses apportées à la crise par </w:t>
            </w:r>
            <w:proofErr w:type="gramStart"/>
            <w:r w:rsidRPr="00935246">
              <w:rPr>
                <w:sz w:val="18"/>
                <w:szCs w:val="18"/>
                <w:lang w:bidi="fr-FR"/>
              </w:rPr>
              <w:t xml:space="preserve">les </w:t>
            </w:r>
            <w:proofErr w:type="spellStart"/>
            <w:r w:rsidRPr="00935246">
              <w:rPr>
                <w:sz w:val="18"/>
                <w:szCs w:val="18"/>
                <w:lang w:bidi="fr-FR"/>
              </w:rPr>
              <w:t>enseignant</w:t>
            </w:r>
            <w:proofErr w:type="gramEnd"/>
            <w:r w:rsidRPr="00935246">
              <w:rPr>
                <w:sz w:val="18"/>
                <w:szCs w:val="18"/>
                <w:lang w:bidi="fr-FR"/>
              </w:rPr>
              <w:t>·e·s</w:t>
            </w:r>
            <w:proofErr w:type="spellEnd"/>
            <w:r w:rsidRPr="00935246">
              <w:rPr>
                <w:sz w:val="18"/>
                <w:szCs w:val="18"/>
                <w:lang w:bidi="fr-FR"/>
              </w:rPr>
              <w:t xml:space="preserve"> et leurs organisations, ainsi que les mesures prises pour assurer la continuité de l</w:t>
            </w:r>
            <w:r w:rsidR="001E584B">
              <w:rPr>
                <w:sz w:val="18"/>
                <w:szCs w:val="18"/>
                <w:lang w:bidi="fr-FR"/>
              </w:rPr>
              <w:t>’</w:t>
            </w:r>
            <w:r w:rsidRPr="00935246">
              <w:rPr>
                <w:sz w:val="18"/>
                <w:szCs w:val="18"/>
                <w:lang w:bidi="fr-FR"/>
              </w:rPr>
              <w:t>éducation. L</w:t>
            </w:r>
            <w:r w:rsidR="001E584B">
              <w:rPr>
                <w:sz w:val="18"/>
                <w:szCs w:val="18"/>
                <w:lang w:bidi="fr-FR"/>
              </w:rPr>
              <w:t>’</w:t>
            </w:r>
            <w:r w:rsidRPr="00935246">
              <w:rPr>
                <w:sz w:val="18"/>
                <w:szCs w:val="18"/>
                <w:lang w:bidi="fr-FR"/>
              </w:rPr>
              <w:t xml:space="preserve">IE a également publié une série de documents, notamment </w:t>
            </w:r>
            <w:hyperlink r:id="rId40" w:history="1">
              <w:r w:rsidRPr="00935246">
                <w:rPr>
                  <w:rStyle w:val="Hyperlink"/>
                  <w:sz w:val="18"/>
                  <w:szCs w:val="18"/>
                  <w:lang w:bidi="fr-FR"/>
                </w:rPr>
                <w:t>En avant avec l</w:t>
              </w:r>
              <w:r w:rsidR="001E584B">
                <w:rPr>
                  <w:rStyle w:val="Hyperlink"/>
                  <w:sz w:val="18"/>
                  <w:szCs w:val="18"/>
                  <w:lang w:bidi="fr-FR"/>
                </w:rPr>
                <w:t>’</w:t>
              </w:r>
              <w:r w:rsidRPr="00935246">
                <w:rPr>
                  <w:rStyle w:val="Hyperlink"/>
                  <w:sz w:val="18"/>
                  <w:szCs w:val="18"/>
                  <w:lang w:bidi="fr-FR"/>
                </w:rPr>
                <w:t>école</w:t>
              </w:r>
            </w:hyperlink>
            <w:r w:rsidRPr="00935246">
              <w:rPr>
                <w:sz w:val="18"/>
                <w:szCs w:val="18"/>
                <w:lang w:bidi="fr-FR"/>
              </w:rPr>
              <w:t>, présentant cinq piliers d</w:t>
            </w:r>
            <w:r w:rsidR="001E584B">
              <w:rPr>
                <w:sz w:val="18"/>
                <w:szCs w:val="18"/>
                <w:lang w:bidi="fr-FR"/>
              </w:rPr>
              <w:t>’</w:t>
            </w:r>
            <w:r w:rsidRPr="00935246">
              <w:rPr>
                <w:sz w:val="18"/>
                <w:szCs w:val="18"/>
                <w:lang w:bidi="fr-FR"/>
              </w:rPr>
              <w:t>orientation pour la réouverture des écoles et contenant plusieurs exemples d</w:t>
            </w:r>
            <w:r w:rsidR="001E584B">
              <w:rPr>
                <w:sz w:val="18"/>
                <w:szCs w:val="18"/>
                <w:lang w:bidi="fr-FR"/>
              </w:rPr>
              <w:t>’</w:t>
            </w:r>
            <w:r w:rsidRPr="00935246">
              <w:rPr>
                <w:sz w:val="18"/>
                <w:szCs w:val="18"/>
                <w:lang w:bidi="fr-FR"/>
              </w:rPr>
              <w:t xml:space="preserve">innovations, entre autres des exemples de dialogue social et politique ayant conduit à une prise de mesures efficaces pour la réouverture des écoles. </w:t>
            </w:r>
          </w:p>
          <w:p w14:paraId="5C5005C1" w14:textId="44670A00" w:rsidR="004553EE" w:rsidRPr="0074541C" w:rsidRDefault="006D1BA5" w:rsidP="00190848">
            <w:pPr>
              <w:pStyle w:val="Para"/>
              <w:rPr>
                <w:sz w:val="18"/>
                <w:szCs w:val="18"/>
              </w:rPr>
            </w:pPr>
            <w:r>
              <w:rPr>
                <w:sz w:val="18"/>
                <w:szCs w:val="18"/>
                <w:lang w:bidi="fr-FR"/>
              </w:rPr>
              <w:t>Il est désormais clair que, au moment où les élèves reprennent le chemin de l</w:t>
            </w:r>
            <w:r w:rsidR="001E584B">
              <w:rPr>
                <w:sz w:val="18"/>
                <w:szCs w:val="18"/>
                <w:lang w:bidi="fr-FR"/>
              </w:rPr>
              <w:t>’</w:t>
            </w:r>
            <w:r>
              <w:rPr>
                <w:sz w:val="18"/>
                <w:szCs w:val="18"/>
                <w:lang w:bidi="fr-FR"/>
              </w:rPr>
              <w:t>école, il importe d</w:t>
            </w:r>
            <w:r w:rsidR="001E584B">
              <w:rPr>
                <w:sz w:val="18"/>
                <w:szCs w:val="18"/>
                <w:lang w:bidi="fr-FR"/>
              </w:rPr>
              <w:t>’</w:t>
            </w:r>
            <w:r>
              <w:rPr>
                <w:sz w:val="18"/>
                <w:szCs w:val="18"/>
                <w:lang w:bidi="fr-FR"/>
              </w:rPr>
              <w:t xml:space="preserve">évaluer leurs besoins pour pouvoir cibler les ressources et le soutien à leur apporter. Les plus </w:t>
            </w:r>
            <w:proofErr w:type="spellStart"/>
            <w:r>
              <w:rPr>
                <w:sz w:val="18"/>
                <w:szCs w:val="18"/>
                <w:lang w:bidi="fr-FR"/>
              </w:rPr>
              <w:t>défavorisé·e·s</w:t>
            </w:r>
            <w:proofErr w:type="spellEnd"/>
            <w:r>
              <w:rPr>
                <w:sz w:val="18"/>
                <w:szCs w:val="18"/>
                <w:lang w:bidi="fr-FR"/>
              </w:rPr>
              <w:t xml:space="preserve"> d</w:t>
            </w:r>
            <w:r w:rsidR="001E584B">
              <w:rPr>
                <w:sz w:val="18"/>
                <w:szCs w:val="18"/>
                <w:lang w:bidi="fr-FR"/>
              </w:rPr>
              <w:t>’</w:t>
            </w:r>
            <w:r>
              <w:rPr>
                <w:sz w:val="18"/>
                <w:szCs w:val="18"/>
                <w:lang w:bidi="fr-FR"/>
              </w:rPr>
              <w:t xml:space="preserve">entre </w:t>
            </w:r>
            <w:proofErr w:type="spellStart"/>
            <w:r>
              <w:rPr>
                <w:sz w:val="18"/>
                <w:szCs w:val="18"/>
                <w:lang w:bidi="fr-FR"/>
              </w:rPr>
              <w:t>eux·elles</w:t>
            </w:r>
            <w:proofErr w:type="spellEnd"/>
            <w:r>
              <w:rPr>
                <w:sz w:val="18"/>
                <w:szCs w:val="18"/>
                <w:lang w:bidi="fr-FR"/>
              </w:rPr>
              <w:t xml:space="preserve"> sont susceptibles de rencontrer plus de difficultés pour accéder à l</w:t>
            </w:r>
            <w:r w:rsidR="001E584B">
              <w:rPr>
                <w:sz w:val="18"/>
                <w:szCs w:val="18"/>
                <w:lang w:bidi="fr-FR"/>
              </w:rPr>
              <w:t>’</w:t>
            </w:r>
            <w:r>
              <w:rPr>
                <w:sz w:val="18"/>
                <w:szCs w:val="18"/>
                <w:lang w:bidi="fr-FR"/>
              </w:rPr>
              <w:t>apprentissage à distance et probablement plus de problèmes sur le plan émotionnel. Raisons pour lesquelles, l</w:t>
            </w:r>
            <w:r w:rsidR="001E584B">
              <w:rPr>
                <w:sz w:val="18"/>
                <w:szCs w:val="18"/>
                <w:lang w:bidi="fr-FR"/>
              </w:rPr>
              <w:t>’</w:t>
            </w:r>
            <w:r>
              <w:rPr>
                <w:sz w:val="18"/>
                <w:szCs w:val="18"/>
                <w:lang w:bidi="fr-FR"/>
              </w:rPr>
              <w:t>IE a soutenu le principe des audits d</w:t>
            </w:r>
            <w:r w:rsidR="001E584B">
              <w:rPr>
                <w:sz w:val="18"/>
                <w:szCs w:val="18"/>
                <w:lang w:bidi="fr-FR"/>
              </w:rPr>
              <w:t>’</w:t>
            </w:r>
            <w:r>
              <w:rPr>
                <w:sz w:val="18"/>
                <w:szCs w:val="18"/>
                <w:lang w:bidi="fr-FR"/>
              </w:rPr>
              <w:t>équité systémiques dans l</w:t>
            </w:r>
            <w:r w:rsidR="001E584B">
              <w:rPr>
                <w:sz w:val="18"/>
                <w:szCs w:val="18"/>
                <w:lang w:bidi="fr-FR"/>
              </w:rPr>
              <w:t>’</w:t>
            </w:r>
            <w:r>
              <w:rPr>
                <w:sz w:val="18"/>
                <w:szCs w:val="18"/>
                <w:lang w:bidi="fr-FR"/>
              </w:rPr>
              <w:t xml:space="preserve">ensemble de sa publication </w:t>
            </w:r>
            <w:hyperlink r:id="rId41" w:history="1">
              <w:r w:rsidR="004553EE" w:rsidRPr="00935246">
                <w:rPr>
                  <w:rStyle w:val="Hyperlink"/>
                  <w:sz w:val="18"/>
                  <w:szCs w:val="18"/>
                  <w:lang w:bidi="fr-FR"/>
                </w:rPr>
                <w:t>Audit de l</w:t>
              </w:r>
              <w:r w:rsidR="001E584B">
                <w:rPr>
                  <w:rStyle w:val="Hyperlink"/>
                  <w:sz w:val="18"/>
                  <w:szCs w:val="18"/>
                  <w:lang w:bidi="fr-FR"/>
                </w:rPr>
                <w:t>’</w:t>
              </w:r>
              <w:r w:rsidR="004553EE" w:rsidRPr="00935246">
                <w:rPr>
                  <w:rStyle w:val="Hyperlink"/>
                  <w:sz w:val="18"/>
                  <w:szCs w:val="18"/>
                  <w:lang w:bidi="fr-FR"/>
                </w:rPr>
                <w:t>équité dans l</w:t>
              </w:r>
              <w:r w:rsidR="001E584B">
                <w:rPr>
                  <w:rStyle w:val="Hyperlink"/>
                  <w:sz w:val="18"/>
                  <w:szCs w:val="18"/>
                  <w:lang w:bidi="fr-FR"/>
                </w:rPr>
                <w:t>’</w:t>
              </w:r>
              <w:r w:rsidR="004553EE" w:rsidRPr="00935246">
                <w:rPr>
                  <w:rStyle w:val="Hyperlink"/>
                  <w:sz w:val="18"/>
                  <w:szCs w:val="18"/>
                  <w:lang w:bidi="fr-FR"/>
                </w:rPr>
                <w:t>éducation à la lumière de la pandémie de Covid-19</w:t>
              </w:r>
            </w:hyperlink>
            <w:r>
              <w:rPr>
                <w:sz w:val="18"/>
                <w:szCs w:val="18"/>
                <w:lang w:bidi="fr-FR"/>
              </w:rPr>
              <w:t xml:space="preserve">. Le </w:t>
            </w:r>
            <w:hyperlink r:id="rId42" w:history="1">
              <w:r w:rsidR="004553EE" w:rsidRPr="00935246">
                <w:rPr>
                  <w:rStyle w:val="Hyperlink"/>
                  <w:sz w:val="18"/>
                  <w:szCs w:val="18"/>
                  <w:lang w:bidi="fr-FR"/>
                </w:rPr>
                <w:t>Cadre mondial en matière de normes professionnelles pour l</w:t>
              </w:r>
              <w:r w:rsidR="001E584B">
                <w:rPr>
                  <w:rStyle w:val="Hyperlink"/>
                  <w:sz w:val="18"/>
                  <w:szCs w:val="18"/>
                  <w:lang w:bidi="fr-FR"/>
                </w:rPr>
                <w:t>’</w:t>
              </w:r>
              <w:r w:rsidR="004553EE" w:rsidRPr="00935246">
                <w:rPr>
                  <w:rStyle w:val="Hyperlink"/>
                  <w:sz w:val="18"/>
                  <w:szCs w:val="18"/>
                  <w:lang w:bidi="fr-FR"/>
                </w:rPr>
                <w:t>éducation</w:t>
              </w:r>
            </w:hyperlink>
            <w:r>
              <w:rPr>
                <w:sz w:val="18"/>
                <w:szCs w:val="18"/>
                <w:lang w:bidi="fr-FR"/>
              </w:rPr>
              <w:t>, développé par l</w:t>
            </w:r>
            <w:r w:rsidR="001E584B">
              <w:rPr>
                <w:sz w:val="18"/>
                <w:szCs w:val="18"/>
                <w:lang w:bidi="fr-FR"/>
              </w:rPr>
              <w:t>’</w:t>
            </w:r>
            <w:r>
              <w:rPr>
                <w:sz w:val="18"/>
                <w:szCs w:val="18"/>
                <w:lang w:bidi="fr-FR"/>
              </w:rPr>
              <w:t>IE en collaboration avec l</w:t>
            </w:r>
            <w:r w:rsidR="001E584B">
              <w:rPr>
                <w:sz w:val="18"/>
                <w:szCs w:val="18"/>
                <w:lang w:bidi="fr-FR"/>
              </w:rPr>
              <w:t>’</w:t>
            </w:r>
            <w:r>
              <w:rPr>
                <w:sz w:val="18"/>
                <w:szCs w:val="18"/>
                <w:lang w:bidi="fr-FR"/>
              </w:rPr>
              <w:t>UNESCO en 2019 permettra également de nourrir les débats entourant la reprise.</w:t>
            </w:r>
          </w:p>
          <w:p w14:paraId="229E6B95" w14:textId="3271C117" w:rsidR="004553EE" w:rsidRPr="00FB2714" w:rsidRDefault="004553EE" w:rsidP="00190848">
            <w:pPr>
              <w:pStyle w:val="Para"/>
              <w:rPr>
                <w:sz w:val="18"/>
                <w:szCs w:val="18"/>
              </w:rPr>
            </w:pPr>
            <w:r w:rsidRPr="0074541C">
              <w:rPr>
                <w:sz w:val="18"/>
                <w:szCs w:val="18"/>
                <w:lang w:bidi="fr-FR"/>
              </w:rPr>
              <w:t>Au niveau national, les organisations d</w:t>
            </w:r>
            <w:r w:rsidR="001E584B">
              <w:rPr>
                <w:sz w:val="18"/>
                <w:szCs w:val="18"/>
                <w:lang w:bidi="fr-FR"/>
              </w:rPr>
              <w:t>’</w:t>
            </w:r>
            <w:proofErr w:type="spellStart"/>
            <w:r w:rsidRPr="0074541C">
              <w:rPr>
                <w:sz w:val="18"/>
                <w:szCs w:val="18"/>
                <w:lang w:bidi="fr-FR"/>
              </w:rPr>
              <w:t>enseignant·e·s</w:t>
            </w:r>
            <w:proofErr w:type="spellEnd"/>
            <w:r w:rsidRPr="0074541C">
              <w:rPr>
                <w:sz w:val="18"/>
                <w:szCs w:val="18"/>
                <w:lang w:bidi="fr-FR"/>
              </w:rPr>
              <w:t>, travaillant en partenariat avec les juridictions pour assurer la continuité de l</w:t>
            </w:r>
            <w:r w:rsidR="001E584B">
              <w:rPr>
                <w:sz w:val="18"/>
                <w:szCs w:val="18"/>
                <w:lang w:bidi="fr-FR"/>
              </w:rPr>
              <w:t>’</w:t>
            </w:r>
            <w:r w:rsidRPr="0074541C">
              <w:rPr>
                <w:sz w:val="18"/>
                <w:szCs w:val="18"/>
                <w:lang w:bidi="fr-FR"/>
              </w:rPr>
              <w:t>éducation durant la pandémie et formuler des propositions politiques pour la reprise de l</w:t>
            </w:r>
            <w:r w:rsidR="001E584B">
              <w:rPr>
                <w:sz w:val="18"/>
                <w:szCs w:val="18"/>
                <w:lang w:bidi="fr-FR"/>
              </w:rPr>
              <w:t>’</w:t>
            </w:r>
            <w:r w:rsidRPr="0074541C">
              <w:rPr>
                <w:sz w:val="18"/>
                <w:szCs w:val="18"/>
                <w:lang w:bidi="fr-FR"/>
              </w:rPr>
              <w:t xml:space="preserve">éducation, offrent des </w:t>
            </w:r>
            <w:hyperlink r:id="rId43" w:history="1">
              <w:r w:rsidRPr="00FB2714">
                <w:rPr>
                  <w:rStyle w:val="Hyperlink"/>
                  <w:sz w:val="18"/>
                  <w:szCs w:val="18"/>
                  <w:lang w:bidi="fr-FR"/>
                </w:rPr>
                <w:t>exemples</w:t>
              </w:r>
            </w:hyperlink>
            <w:r w:rsidRPr="0074541C">
              <w:rPr>
                <w:sz w:val="18"/>
                <w:szCs w:val="18"/>
                <w:lang w:bidi="fr-FR"/>
              </w:rPr>
              <w:t xml:space="preserve"> intéressants qui illustrent la pensée sous-jacente à ces principes. </w:t>
            </w:r>
          </w:p>
          <w:p w14:paraId="1A9EFAC3" w14:textId="135DE1B2" w:rsidR="004553EE" w:rsidRPr="00FB2714" w:rsidRDefault="004553EE" w:rsidP="00190848">
            <w:pPr>
              <w:pStyle w:val="Para"/>
              <w:rPr>
                <w:sz w:val="18"/>
                <w:szCs w:val="18"/>
              </w:rPr>
            </w:pPr>
            <w:r w:rsidRPr="00FB2714">
              <w:rPr>
                <w:sz w:val="18"/>
                <w:szCs w:val="18"/>
                <w:lang w:bidi="fr-FR"/>
              </w:rPr>
              <w:t>En Afrique du Sud, le syndicat de l</w:t>
            </w:r>
            <w:r w:rsidR="001E584B">
              <w:rPr>
                <w:sz w:val="18"/>
                <w:szCs w:val="18"/>
                <w:lang w:bidi="fr-FR"/>
              </w:rPr>
              <w:t>’</w:t>
            </w:r>
            <w:r w:rsidRPr="00FB2714">
              <w:rPr>
                <w:sz w:val="18"/>
                <w:szCs w:val="18"/>
                <w:lang w:bidi="fr-FR"/>
              </w:rPr>
              <w:t>éducation SADTU collabore avec le gouvernement pour réduire la taille du programme d</w:t>
            </w:r>
            <w:r w:rsidR="001E584B">
              <w:rPr>
                <w:sz w:val="18"/>
                <w:szCs w:val="18"/>
                <w:lang w:bidi="fr-FR"/>
              </w:rPr>
              <w:t>’</w:t>
            </w:r>
            <w:r w:rsidRPr="00FB2714">
              <w:rPr>
                <w:sz w:val="18"/>
                <w:szCs w:val="18"/>
                <w:lang w:bidi="fr-FR"/>
              </w:rPr>
              <w:t>études, préparer les plans d</w:t>
            </w:r>
            <w:r w:rsidR="001E584B">
              <w:rPr>
                <w:sz w:val="18"/>
                <w:szCs w:val="18"/>
                <w:lang w:bidi="fr-FR"/>
              </w:rPr>
              <w:t>’</w:t>
            </w:r>
            <w:r w:rsidRPr="00FB2714">
              <w:rPr>
                <w:sz w:val="18"/>
                <w:szCs w:val="18"/>
                <w:lang w:bidi="fr-FR"/>
              </w:rPr>
              <w:t>enseignement annuels, mener des évaluations dans les écoles et organiser leur fermeture/réouverture.</w:t>
            </w:r>
          </w:p>
          <w:p w14:paraId="440EF415" w14:textId="73AFC548" w:rsidR="004553EE" w:rsidRPr="0074541C" w:rsidRDefault="004553EE" w:rsidP="00190848">
            <w:pPr>
              <w:pStyle w:val="Para"/>
              <w:rPr>
                <w:sz w:val="18"/>
                <w:szCs w:val="18"/>
              </w:rPr>
            </w:pPr>
            <w:r w:rsidRPr="00FB2714">
              <w:rPr>
                <w:sz w:val="18"/>
                <w:szCs w:val="18"/>
                <w:lang w:bidi="fr-FR"/>
              </w:rPr>
              <w:t>Aux États-Unis, l</w:t>
            </w:r>
            <w:r w:rsidR="001E584B">
              <w:rPr>
                <w:sz w:val="18"/>
                <w:szCs w:val="18"/>
                <w:lang w:bidi="fr-FR"/>
              </w:rPr>
              <w:t>’</w:t>
            </w:r>
            <w:r w:rsidRPr="00FB2714">
              <w:rPr>
                <w:i/>
                <w:sz w:val="18"/>
                <w:szCs w:val="18"/>
                <w:lang w:bidi="fr-FR"/>
              </w:rPr>
              <w:t xml:space="preserve">American </w:t>
            </w:r>
            <w:proofErr w:type="spellStart"/>
            <w:r w:rsidRPr="00FB2714">
              <w:rPr>
                <w:i/>
                <w:sz w:val="18"/>
                <w:szCs w:val="18"/>
                <w:lang w:bidi="fr-FR"/>
              </w:rPr>
              <w:t>Federation</w:t>
            </w:r>
            <w:proofErr w:type="spellEnd"/>
            <w:r w:rsidRPr="00FB2714">
              <w:rPr>
                <w:i/>
                <w:sz w:val="18"/>
                <w:szCs w:val="18"/>
                <w:lang w:bidi="fr-FR"/>
              </w:rPr>
              <w:t xml:space="preserve"> of Teachers</w:t>
            </w:r>
            <w:r w:rsidRPr="00FB2714">
              <w:rPr>
                <w:sz w:val="18"/>
                <w:szCs w:val="18"/>
                <w:lang w:bidi="fr-FR"/>
              </w:rPr>
              <w:t xml:space="preserve"> et la </w:t>
            </w:r>
            <w:r w:rsidRPr="00FB2714">
              <w:rPr>
                <w:i/>
                <w:sz w:val="18"/>
                <w:szCs w:val="18"/>
                <w:lang w:bidi="fr-FR"/>
              </w:rPr>
              <w:t>National Education Association</w:t>
            </w:r>
            <w:r w:rsidRPr="00FB2714">
              <w:rPr>
                <w:sz w:val="18"/>
                <w:szCs w:val="18"/>
                <w:lang w:bidi="fr-FR"/>
              </w:rPr>
              <w:t xml:space="preserve"> ont proposé une approche commune de l</w:t>
            </w:r>
            <w:r w:rsidR="001E584B">
              <w:rPr>
                <w:sz w:val="18"/>
                <w:szCs w:val="18"/>
                <w:lang w:bidi="fr-FR"/>
              </w:rPr>
              <w:t>’</w:t>
            </w:r>
            <w:r w:rsidRPr="00FB2714">
              <w:rPr>
                <w:sz w:val="18"/>
                <w:szCs w:val="18"/>
                <w:lang w:bidi="fr-FR"/>
              </w:rPr>
              <w:t xml:space="preserve">apprentissage au-delà de la Covid-19 (voir </w:t>
            </w:r>
            <w:hyperlink r:id="rId44" w:history="1">
              <w:r w:rsidRPr="00FB2714">
                <w:rPr>
                  <w:rStyle w:val="Hyperlink"/>
                  <w:sz w:val="18"/>
                  <w:szCs w:val="18"/>
                  <w:lang w:bidi="fr-FR"/>
                </w:rPr>
                <w:t>ici</w:t>
              </w:r>
            </w:hyperlink>
            <w:r w:rsidRPr="00FB2714">
              <w:rPr>
                <w:sz w:val="18"/>
                <w:szCs w:val="18"/>
                <w:lang w:bidi="fr-FR"/>
              </w:rPr>
              <w:t xml:space="preserve"> et </w:t>
            </w:r>
            <w:hyperlink r:id="rId45" w:history="1">
              <w:r w:rsidRPr="00FB2714">
                <w:rPr>
                  <w:rStyle w:val="Hyperlink"/>
                  <w:sz w:val="18"/>
                  <w:szCs w:val="18"/>
                  <w:lang w:bidi="fr-FR"/>
                </w:rPr>
                <w:t>ici</w:t>
              </w:r>
            </w:hyperlink>
            <w:r w:rsidRPr="00FB2714">
              <w:rPr>
                <w:sz w:val="18"/>
                <w:szCs w:val="18"/>
                <w:lang w:bidi="fr-FR"/>
              </w:rPr>
              <w:t xml:space="preserve">), centrée sur cinq priorités : évaluation du bien-être et de la réussite scolaire des élèves ; réponse aux besoins des élèves les plus </w:t>
            </w:r>
            <w:proofErr w:type="spellStart"/>
            <w:r w:rsidRPr="00FB2714">
              <w:rPr>
                <w:sz w:val="18"/>
                <w:szCs w:val="18"/>
                <w:lang w:bidi="fr-FR"/>
              </w:rPr>
              <w:t>défavorisé·e·s</w:t>
            </w:r>
            <w:proofErr w:type="spellEnd"/>
            <w:r w:rsidRPr="00FB2714">
              <w:rPr>
                <w:sz w:val="18"/>
                <w:szCs w:val="18"/>
                <w:lang w:bidi="fr-FR"/>
              </w:rPr>
              <w:t> ; apprentissage, enrichissement et reconnexion d</w:t>
            </w:r>
            <w:r w:rsidR="001E584B">
              <w:rPr>
                <w:sz w:val="18"/>
                <w:szCs w:val="18"/>
                <w:lang w:bidi="fr-FR"/>
              </w:rPr>
              <w:t>’</w:t>
            </w:r>
            <w:r w:rsidRPr="00FB2714">
              <w:rPr>
                <w:sz w:val="18"/>
                <w:szCs w:val="18"/>
                <w:lang w:bidi="fr-FR"/>
              </w:rPr>
              <w:t>ici l</w:t>
            </w:r>
            <w:r w:rsidR="001E584B">
              <w:rPr>
                <w:sz w:val="18"/>
                <w:szCs w:val="18"/>
                <w:lang w:bidi="fr-FR"/>
              </w:rPr>
              <w:t>’</w:t>
            </w:r>
            <w:r w:rsidRPr="00FB2714">
              <w:rPr>
                <w:sz w:val="18"/>
                <w:szCs w:val="18"/>
                <w:lang w:bidi="fr-FR"/>
              </w:rPr>
              <w:t>été 2021 et au-delà ; équité ; et excellence. La publication renvoie aux initiatives développées au niveau de l</w:t>
            </w:r>
            <w:r w:rsidR="001E584B">
              <w:rPr>
                <w:sz w:val="18"/>
                <w:szCs w:val="18"/>
                <w:lang w:bidi="fr-FR"/>
              </w:rPr>
              <w:t>’</w:t>
            </w:r>
            <w:r w:rsidRPr="00FB2714">
              <w:rPr>
                <w:sz w:val="18"/>
                <w:szCs w:val="18"/>
                <w:lang w:bidi="fr-FR"/>
              </w:rPr>
              <w:t>État en tant que modèles possibles pour soutenir les élèves. Les exemples sont notamment les suivants : le modèle d</w:t>
            </w:r>
            <w:r w:rsidR="001E584B">
              <w:rPr>
                <w:sz w:val="18"/>
                <w:szCs w:val="18"/>
                <w:lang w:bidi="fr-FR"/>
              </w:rPr>
              <w:t>’</w:t>
            </w:r>
            <w:r w:rsidRPr="00FB2714">
              <w:rPr>
                <w:sz w:val="18"/>
                <w:szCs w:val="18"/>
                <w:lang w:bidi="fr-FR"/>
              </w:rPr>
              <w:t>évaluation de la performance de l</w:t>
            </w:r>
            <w:r w:rsidR="001E584B">
              <w:rPr>
                <w:sz w:val="18"/>
                <w:szCs w:val="18"/>
                <w:lang w:bidi="fr-FR"/>
              </w:rPr>
              <w:t>’</w:t>
            </w:r>
            <w:r w:rsidRPr="00FB2714">
              <w:rPr>
                <w:sz w:val="18"/>
                <w:szCs w:val="18"/>
                <w:lang w:bidi="fr-FR"/>
              </w:rPr>
              <w:t>enseignement des compétences, déployé en tant que projet pilote approuvé au niveau fédéral par le ministère de l</w:t>
            </w:r>
            <w:r w:rsidR="001E584B">
              <w:rPr>
                <w:sz w:val="18"/>
                <w:szCs w:val="18"/>
                <w:lang w:bidi="fr-FR"/>
              </w:rPr>
              <w:t>’</w:t>
            </w:r>
            <w:r w:rsidRPr="00FB2714">
              <w:rPr>
                <w:sz w:val="18"/>
                <w:szCs w:val="18"/>
                <w:lang w:bidi="fr-FR"/>
              </w:rPr>
              <w:t>Éducation du New Hampshire et les directives publiées par le ministère de l</w:t>
            </w:r>
            <w:r w:rsidR="001E584B">
              <w:rPr>
                <w:sz w:val="18"/>
                <w:szCs w:val="18"/>
                <w:lang w:bidi="fr-FR"/>
              </w:rPr>
              <w:t>’</w:t>
            </w:r>
            <w:r w:rsidRPr="00FB2714">
              <w:rPr>
                <w:sz w:val="18"/>
                <w:szCs w:val="18"/>
                <w:lang w:bidi="fr-FR"/>
              </w:rPr>
              <w:t>Éducation de Pennsylvanie concernant les services compensatoires pour les élèves n</w:t>
            </w:r>
            <w:r w:rsidR="001E584B">
              <w:rPr>
                <w:sz w:val="18"/>
                <w:szCs w:val="18"/>
                <w:lang w:bidi="fr-FR"/>
              </w:rPr>
              <w:t>’</w:t>
            </w:r>
            <w:r w:rsidRPr="00FB2714">
              <w:rPr>
                <w:sz w:val="18"/>
                <w:szCs w:val="18"/>
                <w:lang w:bidi="fr-FR"/>
              </w:rPr>
              <w:t xml:space="preserve">ayant plus été </w:t>
            </w:r>
            <w:proofErr w:type="spellStart"/>
            <w:r w:rsidRPr="00FB2714">
              <w:rPr>
                <w:sz w:val="18"/>
                <w:szCs w:val="18"/>
                <w:lang w:bidi="fr-FR"/>
              </w:rPr>
              <w:t>scolarisé·e·s</w:t>
            </w:r>
            <w:proofErr w:type="spellEnd"/>
            <w:r w:rsidRPr="00FB2714">
              <w:rPr>
                <w:sz w:val="18"/>
                <w:szCs w:val="18"/>
                <w:lang w:bidi="fr-FR"/>
              </w:rPr>
              <w:t xml:space="preserve"> pendant de longues périodes.</w:t>
            </w:r>
          </w:p>
          <w:p w14:paraId="74909D72" w14:textId="3FF7826F" w:rsidR="004553EE" w:rsidRPr="00FB2714" w:rsidRDefault="004553EE" w:rsidP="00190848">
            <w:pPr>
              <w:pStyle w:val="Para"/>
              <w:rPr>
                <w:sz w:val="18"/>
                <w:szCs w:val="18"/>
              </w:rPr>
            </w:pPr>
            <w:r w:rsidRPr="00FB2714">
              <w:rPr>
                <w:sz w:val="18"/>
                <w:szCs w:val="18"/>
                <w:lang w:bidi="fr-FR"/>
              </w:rPr>
              <w:t>En Irlande, la prestation des services d</w:t>
            </w:r>
            <w:r w:rsidR="001E584B">
              <w:rPr>
                <w:sz w:val="18"/>
                <w:szCs w:val="18"/>
                <w:lang w:bidi="fr-FR"/>
              </w:rPr>
              <w:t>’</w:t>
            </w:r>
            <w:r w:rsidRPr="00FB2714">
              <w:rPr>
                <w:sz w:val="18"/>
                <w:szCs w:val="18"/>
                <w:lang w:bidi="fr-FR"/>
              </w:rPr>
              <w:t>éducation durant la pandémie a supposé une participation importante des syndicats de l</w:t>
            </w:r>
            <w:r w:rsidR="001E584B">
              <w:rPr>
                <w:sz w:val="18"/>
                <w:szCs w:val="18"/>
                <w:lang w:bidi="fr-FR"/>
              </w:rPr>
              <w:t>’</w:t>
            </w:r>
            <w:r w:rsidRPr="00FB2714">
              <w:rPr>
                <w:sz w:val="18"/>
                <w:szCs w:val="18"/>
                <w:lang w:bidi="fr-FR"/>
              </w:rPr>
              <w:t>éducation, conformément à la législation irlandaise requérant que l</w:t>
            </w:r>
            <w:r w:rsidR="001E584B">
              <w:rPr>
                <w:sz w:val="18"/>
                <w:szCs w:val="18"/>
                <w:lang w:bidi="fr-FR"/>
              </w:rPr>
              <w:t>’</w:t>
            </w:r>
            <w:r w:rsidRPr="00FB2714">
              <w:rPr>
                <w:sz w:val="18"/>
                <w:szCs w:val="18"/>
                <w:lang w:bidi="fr-FR"/>
              </w:rPr>
              <w:t xml:space="preserve">éducation soit « assurée dans un esprit de partenariat entre les écoles, les mécènes, les élèves, les parents, les </w:t>
            </w:r>
            <w:proofErr w:type="spellStart"/>
            <w:r w:rsidRPr="00FB2714">
              <w:rPr>
                <w:sz w:val="18"/>
                <w:szCs w:val="18"/>
                <w:lang w:bidi="fr-FR"/>
              </w:rPr>
              <w:t>enseignant·e·s</w:t>
            </w:r>
            <w:proofErr w:type="spellEnd"/>
            <w:r w:rsidRPr="00FB2714">
              <w:rPr>
                <w:sz w:val="18"/>
                <w:szCs w:val="18"/>
                <w:lang w:bidi="fr-FR"/>
              </w:rPr>
              <w:t>, le personnel des écoles et la communauté... ». Le Conseil national irlandais pour les programmes d</w:t>
            </w:r>
            <w:r w:rsidR="001E584B">
              <w:rPr>
                <w:sz w:val="18"/>
                <w:szCs w:val="18"/>
                <w:lang w:bidi="fr-FR"/>
              </w:rPr>
              <w:t>’</w:t>
            </w:r>
            <w:r w:rsidRPr="00FB2714">
              <w:rPr>
                <w:sz w:val="18"/>
                <w:szCs w:val="18"/>
                <w:lang w:bidi="fr-FR"/>
              </w:rPr>
              <w:t>études et les évaluations illustre bien cette approche des parties prenantes et prévoit une représentation importante des syndicats de l</w:t>
            </w:r>
            <w:r w:rsidR="001E584B">
              <w:rPr>
                <w:sz w:val="18"/>
                <w:szCs w:val="18"/>
                <w:lang w:bidi="fr-FR"/>
              </w:rPr>
              <w:t>’</w:t>
            </w:r>
            <w:r w:rsidRPr="00FB2714">
              <w:rPr>
                <w:sz w:val="18"/>
                <w:szCs w:val="18"/>
                <w:lang w:bidi="fr-FR"/>
              </w:rPr>
              <w:t>éducation. Dès le début de la pandémie, le ministre de l</w:t>
            </w:r>
            <w:r w:rsidR="001E584B">
              <w:rPr>
                <w:sz w:val="18"/>
                <w:szCs w:val="18"/>
                <w:lang w:bidi="fr-FR"/>
              </w:rPr>
              <w:t>’</w:t>
            </w:r>
            <w:r w:rsidRPr="00FB2714">
              <w:rPr>
                <w:sz w:val="18"/>
                <w:szCs w:val="18"/>
                <w:lang w:bidi="fr-FR"/>
              </w:rPr>
              <w:t>Éducation et des Compétences a créé un groupe de parties prenantes « Covid », réunissant les syndicats de l</w:t>
            </w:r>
            <w:r w:rsidR="001E584B">
              <w:rPr>
                <w:sz w:val="18"/>
                <w:szCs w:val="18"/>
                <w:lang w:bidi="fr-FR"/>
              </w:rPr>
              <w:t>’</w:t>
            </w:r>
            <w:r w:rsidRPr="00FB2714">
              <w:rPr>
                <w:sz w:val="18"/>
                <w:szCs w:val="18"/>
                <w:lang w:bidi="fr-FR"/>
              </w:rPr>
              <w:t>éducation ASTI, INTO et TUI</w:t>
            </w:r>
            <w:r w:rsidR="006673A3">
              <w:rPr>
                <w:sz w:val="18"/>
                <w:szCs w:val="18"/>
                <w:lang w:bidi="fr-FR"/>
              </w:rPr>
              <w:t>, qui</w:t>
            </w:r>
            <w:r w:rsidRPr="00FB2714">
              <w:rPr>
                <w:sz w:val="18"/>
                <w:szCs w:val="18"/>
                <w:lang w:bidi="fr-FR"/>
              </w:rPr>
              <w:t xml:space="preserve"> s</w:t>
            </w:r>
            <w:r w:rsidR="001E584B">
              <w:rPr>
                <w:sz w:val="18"/>
                <w:szCs w:val="18"/>
                <w:lang w:bidi="fr-FR"/>
              </w:rPr>
              <w:t>’</w:t>
            </w:r>
            <w:r w:rsidRPr="00FB2714">
              <w:rPr>
                <w:sz w:val="18"/>
                <w:szCs w:val="18"/>
                <w:lang w:bidi="fr-FR"/>
              </w:rPr>
              <w:t>est tout d</w:t>
            </w:r>
            <w:r w:rsidR="001E584B">
              <w:rPr>
                <w:sz w:val="18"/>
                <w:szCs w:val="18"/>
                <w:lang w:bidi="fr-FR"/>
              </w:rPr>
              <w:t>’</w:t>
            </w:r>
            <w:r w:rsidRPr="00FB2714">
              <w:rPr>
                <w:sz w:val="18"/>
                <w:szCs w:val="18"/>
                <w:lang w:bidi="fr-FR"/>
              </w:rPr>
              <w:t>abord chargé de développer des directives pour les écoles concernant l</w:t>
            </w:r>
            <w:r w:rsidR="001E584B">
              <w:rPr>
                <w:sz w:val="18"/>
                <w:szCs w:val="18"/>
                <w:lang w:bidi="fr-FR"/>
              </w:rPr>
              <w:t>’</w:t>
            </w:r>
            <w:r w:rsidRPr="00FB2714">
              <w:rPr>
                <w:sz w:val="18"/>
                <w:szCs w:val="18"/>
                <w:lang w:bidi="fr-FR"/>
              </w:rPr>
              <w:t>enseignement et l</w:t>
            </w:r>
            <w:r w:rsidR="001E584B">
              <w:rPr>
                <w:sz w:val="18"/>
                <w:szCs w:val="18"/>
                <w:lang w:bidi="fr-FR"/>
              </w:rPr>
              <w:t>’</w:t>
            </w:r>
            <w:r w:rsidRPr="00FB2714">
              <w:rPr>
                <w:sz w:val="18"/>
                <w:szCs w:val="18"/>
                <w:lang w:bidi="fr-FR"/>
              </w:rPr>
              <w:t>apprentissage à distance, notamment pour les élèves ayant des besoins spéciaux, en accordant la priorité au bien-être et aux conseils. En mai 2020, le groupe s</w:t>
            </w:r>
            <w:r w:rsidR="001E584B">
              <w:rPr>
                <w:sz w:val="18"/>
                <w:szCs w:val="18"/>
                <w:lang w:bidi="fr-FR"/>
              </w:rPr>
              <w:t>’</w:t>
            </w:r>
            <w:r w:rsidRPr="00FB2714">
              <w:rPr>
                <w:sz w:val="18"/>
                <w:szCs w:val="18"/>
                <w:lang w:bidi="fr-FR"/>
              </w:rPr>
              <w:t>est penché sur les examens de fin d</w:t>
            </w:r>
            <w:r w:rsidR="001E584B">
              <w:rPr>
                <w:sz w:val="18"/>
                <w:szCs w:val="18"/>
                <w:lang w:bidi="fr-FR"/>
              </w:rPr>
              <w:t>’</w:t>
            </w:r>
            <w:r w:rsidRPr="00FB2714">
              <w:rPr>
                <w:sz w:val="18"/>
                <w:szCs w:val="18"/>
                <w:lang w:bidi="fr-FR"/>
              </w:rPr>
              <w:t>études, annulés en raison de la crise sanitaire. Le groupe a ensuite collaboré étroitement avec l</w:t>
            </w:r>
            <w:r w:rsidR="001E584B">
              <w:rPr>
                <w:sz w:val="18"/>
                <w:szCs w:val="18"/>
                <w:lang w:bidi="fr-FR"/>
              </w:rPr>
              <w:t>’</w:t>
            </w:r>
            <w:r w:rsidRPr="00FB2714">
              <w:rPr>
                <w:sz w:val="18"/>
                <w:szCs w:val="18"/>
                <w:lang w:bidi="fr-FR"/>
              </w:rPr>
              <w:t>Unité des évaluation</w:t>
            </w:r>
            <w:r w:rsidR="00A5284A">
              <w:rPr>
                <w:sz w:val="18"/>
                <w:szCs w:val="18"/>
                <w:lang w:bidi="fr-FR"/>
              </w:rPr>
              <w:t>s</w:t>
            </w:r>
            <w:r w:rsidRPr="00FB2714">
              <w:rPr>
                <w:sz w:val="18"/>
                <w:szCs w:val="18"/>
                <w:lang w:bidi="fr-FR"/>
              </w:rPr>
              <w:t xml:space="preserve"> et des programmes d</w:t>
            </w:r>
            <w:r w:rsidR="001E584B">
              <w:rPr>
                <w:sz w:val="18"/>
                <w:szCs w:val="18"/>
                <w:lang w:bidi="fr-FR"/>
              </w:rPr>
              <w:t>’</w:t>
            </w:r>
            <w:r w:rsidRPr="00FB2714">
              <w:rPr>
                <w:sz w:val="18"/>
                <w:szCs w:val="18"/>
                <w:lang w:bidi="fr-FR"/>
              </w:rPr>
              <w:t>études et la Commission des examens d</w:t>
            </w:r>
            <w:r w:rsidR="001E584B">
              <w:rPr>
                <w:sz w:val="18"/>
                <w:szCs w:val="18"/>
                <w:lang w:bidi="fr-FR"/>
              </w:rPr>
              <w:t>’</w:t>
            </w:r>
            <w:r w:rsidRPr="00FB2714">
              <w:rPr>
                <w:sz w:val="18"/>
                <w:szCs w:val="18"/>
                <w:lang w:bidi="fr-FR"/>
              </w:rPr>
              <w:t>État, en vue de développer un modèle de notation prédictive avec possibilité de passer les examens en novembre. Ce modèle a été étendu à 2021. Une des principales caractéristiques de l</w:t>
            </w:r>
            <w:r w:rsidR="001E584B">
              <w:rPr>
                <w:sz w:val="18"/>
                <w:szCs w:val="18"/>
                <w:lang w:bidi="fr-FR"/>
              </w:rPr>
              <w:t>’</w:t>
            </w:r>
            <w:r w:rsidRPr="00FB2714">
              <w:rPr>
                <w:sz w:val="18"/>
                <w:szCs w:val="18"/>
                <w:lang w:bidi="fr-FR"/>
              </w:rPr>
              <w:t xml:space="preserve">expérience irlandaise de </w:t>
            </w:r>
            <w:r w:rsidRPr="00FB2714">
              <w:rPr>
                <w:sz w:val="18"/>
                <w:szCs w:val="18"/>
                <w:lang w:bidi="fr-FR"/>
              </w:rPr>
              <w:lastRenderedPageBreak/>
              <w:t>la participation des parties prenantes a été la possibilité donnée aux élèves de faire entendre leur voix : le syndicat irlandais des élèves du secondaire a rejoint le groupe des parties prenantes, où il a joué un rôle décisif dans les choix à faire pour les évaluations finales.</w:t>
            </w:r>
          </w:p>
          <w:p w14:paraId="7305FFBF" w14:textId="0823A12F" w:rsidR="0066166D" w:rsidRPr="00FB2714" w:rsidRDefault="004553EE" w:rsidP="00190848">
            <w:pPr>
              <w:pStyle w:val="Para"/>
              <w:rPr>
                <w:sz w:val="18"/>
                <w:szCs w:val="18"/>
              </w:rPr>
            </w:pPr>
            <w:r w:rsidRPr="00FB2714">
              <w:rPr>
                <w:sz w:val="18"/>
                <w:szCs w:val="18"/>
                <w:lang w:bidi="fr-FR"/>
              </w:rPr>
              <w:t xml:space="preserve">Au Japon, le </w:t>
            </w:r>
            <w:proofErr w:type="spellStart"/>
            <w:r w:rsidRPr="001E584B">
              <w:rPr>
                <w:i/>
                <w:iCs/>
                <w:sz w:val="18"/>
                <w:szCs w:val="18"/>
                <w:lang w:bidi="fr-FR"/>
              </w:rPr>
              <w:t>Japanese</w:t>
            </w:r>
            <w:proofErr w:type="spellEnd"/>
            <w:r w:rsidRPr="001E584B">
              <w:rPr>
                <w:i/>
                <w:iCs/>
                <w:sz w:val="18"/>
                <w:szCs w:val="18"/>
                <w:lang w:bidi="fr-FR"/>
              </w:rPr>
              <w:t xml:space="preserve"> Teachers Union</w:t>
            </w:r>
            <w:r w:rsidRPr="00FB2714">
              <w:rPr>
                <w:sz w:val="18"/>
                <w:szCs w:val="18"/>
                <w:lang w:bidi="fr-FR"/>
              </w:rPr>
              <w:t xml:space="preserve"> (JTU) a travaillé avec le ministère de l</w:t>
            </w:r>
            <w:r w:rsidR="001E584B">
              <w:rPr>
                <w:sz w:val="18"/>
                <w:szCs w:val="18"/>
                <w:lang w:bidi="fr-FR"/>
              </w:rPr>
              <w:t>’</w:t>
            </w:r>
            <w:r w:rsidRPr="00FB2714">
              <w:rPr>
                <w:sz w:val="18"/>
                <w:szCs w:val="18"/>
                <w:lang w:bidi="fr-FR"/>
              </w:rPr>
              <w:t>Éducation, de la Culture, des Sports, des Sciences et de la Technologie (MEXT) pour assurer la continuité de l</w:t>
            </w:r>
            <w:r w:rsidR="001E584B">
              <w:rPr>
                <w:sz w:val="18"/>
                <w:szCs w:val="18"/>
                <w:lang w:bidi="fr-FR"/>
              </w:rPr>
              <w:t>’</w:t>
            </w:r>
            <w:r w:rsidRPr="00FB2714">
              <w:rPr>
                <w:sz w:val="18"/>
                <w:szCs w:val="18"/>
                <w:lang w:bidi="fr-FR"/>
              </w:rPr>
              <w:t>éducation de qualité durant la pandémie et a participé au plan de relance de l</w:t>
            </w:r>
            <w:r w:rsidR="001E584B">
              <w:rPr>
                <w:sz w:val="18"/>
                <w:szCs w:val="18"/>
                <w:lang w:bidi="fr-FR"/>
              </w:rPr>
              <w:t>’</w:t>
            </w:r>
            <w:r w:rsidRPr="00FB2714">
              <w:rPr>
                <w:sz w:val="18"/>
                <w:szCs w:val="18"/>
                <w:lang w:bidi="fr-FR"/>
              </w:rPr>
              <w:t>éducation. Les écoles sont ouvertes depuis le mois de juin 2020, et lorsque l</w:t>
            </w:r>
            <w:r w:rsidR="001E584B">
              <w:rPr>
                <w:sz w:val="18"/>
                <w:szCs w:val="18"/>
                <w:lang w:bidi="fr-FR"/>
              </w:rPr>
              <w:t>’</w:t>
            </w:r>
            <w:r w:rsidRPr="00FB2714">
              <w:rPr>
                <w:sz w:val="18"/>
                <w:szCs w:val="18"/>
                <w:lang w:bidi="fr-FR"/>
              </w:rPr>
              <w:t>apprentissage à distance s</w:t>
            </w:r>
            <w:r w:rsidR="001E584B">
              <w:rPr>
                <w:sz w:val="18"/>
                <w:szCs w:val="18"/>
                <w:lang w:bidi="fr-FR"/>
              </w:rPr>
              <w:t>’</w:t>
            </w:r>
            <w:r w:rsidRPr="00FB2714">
              <w:rPr>
                <w:sz w:val="18"/>
                <w:szCs w:val="18"/>
                <w:lang w:bidi="fr-FR"/>
              </w:rPr>
              <w:t xml:space="preserve">est avéré nécessaire, la fermeture des écoles a été le plus souvent de courte durée. Le gouvernement a alloué des budgets à chaque école afin de pouvoir prendre des décisions concernant les dépenses, en fonction des besoins des enfants et des </w:t>
            </w:r>
            <w:proofErr w:type="spellStart"/>
            <w:r w:rsidRPr="00FB2714">
              <w:rPr>
                <w:sz w:val="18"/>
                <w:szCs w:val="18"/>
                <w:lang w:bidi="fr-FR"/>
              </w:rPr>
              <w:t>éducateur·rice·s</w:t>
            </w:r>
            <w:proofErr w:type="spellEnd"/>
            <w:r w:rsidRPr="00FB2714">
              <w:rPr>
                <w:sz w:val="18"/>
                <w:szCs w:val="18"/>
                <w:lang w:bidi="fr-FR"/>
              </w:rPr>
              <w:t>. Le budget des écoles, décrit comme discrétionnaire par le JTU, s</w:t>
            </w:r>
            <w:r w:rsidR="001E584B">
              <w:rPr>
                <w:sz w:val="18"/>
                <w:szCs w:val="18"/>
                <w:lang w:bidi="fr-FR"/>
              </w:rPr>
              <w:t>’</w:t>
            </w:r>
            <w:r w:rsidRPr="00FB2714">
              <w:rPr>
                <w:sz w:val="18"/>
                <w:szCs w:val="18"/>
                <w:lang w:bidi="fr-FR"/>
              </w:rPr>
              <w:t>élève au total à 74 milliards de yens. La Diète nationale a légiféré en vue de réduire la taille des classes de 40 à 35 élèves, du grade 2 au grade 6 dans les écoles élémentaires.</w:t>
            </w:r>
          </w:p>
          <w:p w14:paraId="19B53052" w14:textId="1553AD66" w:rsidR="004553EE" w:rsidRPr="00FB2714" w:rsidRDefault="00FB2714" w:rsidP="00190848">
            <w:pPr>
              <w:pStyle w:val="Para"/>
              <w:rPr>
                <w:sz w:val="18"/>
                <w:szCs w:val="18"/>
              </w:rPr>
            </w:pPr>
            <w:r>
              <w:rPr>
                <w:sz w:val="18"/>
                <w:szCs w:val="18"/>
                <w:lang w:bidi="fr-FR"/>
              </w:rPr>
              <w:t>En Argentine, le gouvernement a signé une convention collective avec la CTERA, une organisation membre de l</w:t>
            </w:r>
            <w:r w:rsidR="001E584B">
              <w:rPr>
                <w:sz w:val="18"/>
                <w:szCs w:val="18"/>
                <w:lang w:bidi="fr-FR"/>
              </w:rPr>
              <w:t>’</w:t>
            </w:r>
            <w:r>
              <w:rPr>
                <w:sz w:val="18"/>
                <w:szCs w:val="18"/>
                <w:lang w:bidi="fr-FR"/>
              </w:rPr>
              <w:t>IE, en juin 2020. Celle-ci vise à restructurer le travail des écoles durant les confinements, en mettant l</w:t>
            </w:r>
            <w:r w:rsidR="001E584B">
              <w:rPr>
                <w:sz w:val="18"/>
                <w:szCs w:val="18"/>
                <w:lang w:bidi="fr-FR"/>
              </w:rPr>
              <w:t>’</w:t>
            </w:r>
            <w:r>
              <w:rPr>
                <w:sz w:val="18"/>
                <w:szCs w:val="18"/>
                <w:lang w:bidi="fr-FR"/>
              </w:rPr>
              <w:t xml:space="preserve">accent sur le télétravail. Cette convention est la première </w:t>
            </w:r>
            <w:r w:rsidR="00E922DD">
              <w:rPr>
                <w:sz w:val="18"/>
                <w:szCs w:val="18"/>
                <w:lang w:bidi="fr-FR"/>
              </w:rPr>
              <w:t>de sa catégorie</w:t>
            </w:r>
            <w:r>
              <w:rPr>
                <w:sz w:val="18"/>
                <w:szCs w:val="18"/>
                <w:lang w:bidi="fr-FR"/>
              </w:rPr>
              <w:t>. Le travail effectué durant une quarantaine y est officiellement reconnu comme étant un « travail d</w:t>
            </w:r>
            <w:r w:rsidR="001E584B">
              <w:rPr>
                <w:sz w:val="18"/>
                <w:szCs w:val="18"/>
                <w:lang w:bidi="fr-FR"/>
              </w:rPr>
              <w:t>’</w:t>
            </w:r>
            <w:r>
              <w:rPr>
                <w:sz w:val="18"/>
                <w:szCs w:val="18"/>
                <w:lang w:bidi="fr-FR"/>
              </w:rPr>
              <w:t>enseignement dans un contexte virtuel extérieur, dispensé dans des environnements ne faisant pas partie du système éducatif ». Les dispositions prévoient également une reconnaissance de la nécessité de ne pas surcharger le personnel des écoles dans des circonstances exceptionnelles, en respectant l</w:t>
            </w:r>
            <w:r w:rsidR="001E584B">
              <w:rPr>
                <w:sz w:val="18"/>
                <w:szCs w:val="18"/>
                <w:lang w:bidi="fr-FR"/>
              </w:rPr>
              <w:t>’</w:t>
            </w:r>
            <w:r>
              <w:rPr>
                <w:sz w:val="18"/>
                <w:szCs w:val="18"/>
                <w:lang w:bidi="fr-FR"/>
              </w:rPr>
              <w:t xml:space="preserve">équivalence des heures de travail normales et en incluant un « droit à la déconnexion », un élargissement des activités de formation des </w:t>
            </w:r>
            <w:proofErr w:type="spellStart"/>
            <w:r>
              <w:rPr>
                <w:sz w:val="18"/>
                <w:szCs w:val="18"/>
                <w:lang w:bidi="fr-FR"/>
              </w:rPr>
              <w:t>enseignant·e·s</w:t>
            </w:r>
            <w:proofErr w:type="spellEnd"/>
            <w:r>
              <w:rPr>
                <w:sz w:val="18"/>
                <w:szCs w:val="18"/>
                <w:lang w:bidi="fr-FR"/>
              </w:rPr>
              <w:t xml:space="preserve"> avec l</w:t>
            </w:r>
            <w:r w:rsidR="001E584B">
              <w:rPr>
                <w:sz w:val="18"/>
                <w:szCs w:val="18"/>
                <w:lang w:bidi="fr-FR"/>
              </w:rPr>
              <w:t>’</w:t>
            </w:r>
            <w:r>
              <w:rPr>
                <w:sz w:val="18"/>
                <w:szCs w:val="18"/>
                <w:lang w:bidi="fr-FR"/>
              </w:rPr>
              <w:t>aide des syndicats et la garantie que les charges administratives n</w:t>
            </w:r>
            <w:r w:rsidR="001E584B">
              <w:rPr>
                <w:sz w:val="18"/>
                <w:szCs w:val="18"/>
                <w:lang w:bidi="fr-FR"/>
              </w:rPr>
              <w:t>’</w:t>
            </w:r>
            <w:r>
              <w:rPr>
                <w:sz w:val="18"/>
                <w:szCs w:val="18"/>
                <w:lang w:bidi="fr-FR"/>
              </w:rPr>
              <w:t>empiètent pas sur le temps consacré au développement et à l</w:t>
            </w:r>
            <w:r w:rsidR="001E584B">
              <w:rPr>
                <w:sz w:val="18"/>
                <w:szCs w:val="18"/>
                <w:lang w:bidi="fr-FR"/>
              </w:rPr>
              <w:t>’</w:t>
            </w:r>
            <w:r>
              <w:rPr>
                <w:sz w:val="18"/>
                <w:szCs w:val="18"/>
                <w:lang w:bidi="fr-FR"/>
              </w:rPr>
              <w:t>enseignement de</w:t>
            </w:r>
            <w:r w:rsidR="00E922DD">
              <w:rPr>
                <w:sz w:val="18"/>
                <w:szCs w:val="18"/>
                <w:lang w:bidi="fr-FR"/>
              </w:rPr>
              <w:t>s</w:t>
            </w:r>
            <w:r>
              <w:rPr>
                <w:sz w:val="18"/>
                <w:szCs w:val="18"/>
                <w:lang w:bidi="fr-FR"/>
              </w:rPr>
              <w:t xml:space="preserve"> contenus pédagogiques.</w:t>
            </w:r>
          </w:p>
          <w:p w14:paraId="59A655C8" w14:textId="6B79D741" w:rsidR="00BA2A2F" w:rsidRPr="0074541C" w:rsidRDefault="00EA6BF8" w:rsidP="00190848">
            <w:pPr>
              <w:pStyle w:val="Para"/>
              <w:rPr>
                <w:sz w:val="18"/>
                <w:szCs w:val="18"/>
              </w:rPr>
            </w:pPr>
            <w:r>
              <w:rPr>
                <w:sz w:val="18"/>
                <w:szCs w:val="18"/>
                <w:lang w:bidi="fr-FR"/>
              </w:rPr>
              <w:t>Les syndicats de l</w:t>
            </w:r>
            <w:r w:rsidR="001E584B">
              <w:rPr>
                <w:sz w:val="18"/>
                <w:szCs w:val="18"/>
                <w:lang w:bidi="fr-FR"/>
              </w:rPr>
              <w:t>’</w:t>
            </w:r>
            <w:r>
              <w:rPr>
                <w:sz w:val="18"/>
                <w:szCs w:val="18"/>
                <w:lang w:bidi="fr-FR"/>
              </w:rPr>
              <w:t xml:space="preserve">éducation ont proposé à leurs membres des formations professionnelles, des programmes de développement et des conseils durant la pandémie. Au Royaume-Uni, le NEU a créé une </w:t>
            </w:r>
            <w:hyperlink r:id="rId46" w:history="1">
              <w:r w:rsidR="00E4631B" w:rsidRPr="00FB2714">
                <w:rPr>
                  <w:rStyle w:val="Hyperlink"/>
                  <w:sz w:val="18"/>
                  <w:szCs w:val="18"/>
                  <w:lang w:bidi="fr-FR"/>
                </w:rPr>
                <w:t>plateforme pour la formation à distance</w:t>
              </w:r>
            </w:hyperlink>
            <w:r>
              <w:rPr>
                <w:sz w:val="18"/>
                <w:szCs w:val="18"/>
                <w:lang w:bidi="fr-FR"/>
              </w:rPr>
              <w:t xml:space="preserve"> couvrant des domaines tels que la création d</w:t>
            </w:r>
            <w:r w:rsidR="001E584B">
              <w:rPr>
                <w:sz w:val="18"/>
                <w:szCs w:val="18"/>
                <w:lang w:bidi="fr-FR"/>
              </w:rPr>
              <w:t>’</w:t>
            </w:r>
            <w:r>
              <w:rPr>
                <w:sz w:val="18"/>
                <w:szCs w:val="18"/>
                <w:lang w:bidi="fr-FR"/>
              </w:rPr>
              <w:t>environnements d</w:t>
            </w:r>
            <w:r w:rsidR="001E584B">
              <w:rPr>
                <w:sz w:val="18"/>
                <w:szCs w:val="18"/>
                <w:lang w:bidi="fr-FR"/>
              </w:rPr>
              <w:t>’</w:t>
            </w:r>
            <w:r>
              <w:rPr>
                <w:sz w:val="18"/>
                <w:szCs w:val="18"/>
                <w:lang w:bidi="fr-FR"/>
              </w:rPr>
              <w:t>apprentissage positifs en ligne, l</w:t>
            </w:r>
            <w:r w:rsidR="001E584B">
              <w:rPr>
                <w:sz w:val="18"/>
                <w:szCs w:val="18"/>
                <w:lang w:bidi="fr-FR"/>
              </w:rPr>
              <w:t>’</w:t>
            </w:r>
            <w:r>
              <w:rPr>
                <w:sz w:val="18"/>
                <w:szCs w:val="18"/>
                <w:lang w:bidi="fr-FR"/>
              </w:rPr>
              <w:t>approche des questions techniques, la gestion des problèmes comportementaux à distance et le développement du questionnement et du dialogue dans les classes à distance.</w:t>
            </w:r>
            <w:r w:rsidR="001E584B">
              <w:rPr>
                <w:sz w:val="18"/>
                <w:szCs w:val="18"/>
                <w:lang w:bidi="fr-FR"/>
              </w:rPr>
              <w:t xml:space="preserve"> </w:t>
            </w:r>
            <w:r>
              <w:rPr>
                <w:sz w:val="18"/>
                <w:szCs w:val="18"/>
                <w:lang w:bidi="fr-FR"/>
              </w:rPr>
              <w:t xml:space="preserve">Le syndicat a également intégré en ligne son </w:t>
            </w:r>
            <w:hyperlink r:id="rId47" w:history="1">
              <w:r w:rsidR="00BA2A2F" w:rsidRPr="00FB2714">
                <w:rPr>
                  <w:rStyle w:val="Hyperlink"/>
                  <w:sz w:val="18"/>
                  <w:szCs w:val="18"/>
                  <w:lang w:bidi="fr-FR"/>
                </w:rPr>
                <w:t>programme</w:t>
              </w:r>
            </w:hyperlink>
            <w:r>
              <w:rPr>
                <w:sz w:val="18"/>
                <w:szCs w:val="18"/>
                <w:lang w:bidi="fr-FR"/>
              </w:rPr>
              <w:t xml:space="preserve"> national de développement professionnel continu (DPC) pour ses membres. La NASUWT organise des webinaires pour ses membres, centrés sur les différentes méthodes d</w:t>
            </w:r>
            <w:r w:rsidR="001E584B">
              <w:rPr>
                <w:sz w:val="18"/>
                <w:szCs w:val="18"/>
                <w:lang w:bidi="fr-FR"/>
              </w:rPr>
              <w:t>’</w:t>
            </w:r>
            <w:r>
              <w:rPr>
                <w:sz w:val="18"/>
                <w:szCs w:val="18"/>
                <w:lang w:bidi="fr-FR"/>
              </w:rPr>
              <w:t xml:space="preserve">apprentissage à distance sûres et efficaces. Son </w:t>
            </w:r>
            <w:hyperlink r:id="rId48" w:history="1">
              <w:r w:rsidR="00BA2A2F" w:rsidRPr="00FB2714">
                <w:rPr>
                  <w:rStyle w:val="Hyperlink"/>
                  <w:sz w:val="18"/>
                  <w:szCs w:val="18"/>
                  <w:lang w:bidi="fr-FR"/>
                </w:rPr>
                <w:t>matériel</w:t>
              </w:r>
            </w:hyperlink>
            <w:r>
              <w:rPr>
                <w:sz w:val="18"/>
                <w:szCs w:val="18"/>
                <w:lang w:bidi="fr-FR"/>
              </w:rPr>
              <w:t xml:space="preserve"> couvre des questions telles que l</w:t>
            </w:r>
            <w:r w:rsidR="001E584B">
              <w:rPr>
                <w:sz w:val="18"/>
                <w:szCs w:val="18"/>
                <w:lang w:bidi="fr-FR"/>
              </w:rPr>
              <w:t>’</w:t>
            </w:r>
            <w:r>
              <w:rPr>
                <w:sz w:val="18"/>
                <w:szCs w:val="18"/>
                <w:lang w:bidi="fr-FR"/>
              </w:rPr>
              <w:t xml:space="preserve">utilisation des technologies, les avantages relatifs des approches synchrones et asynchrones, les attentes réalistes quant à ce qui peut être fourni à distance, la protection des données, le respect de la vie privée et la gestion de la charge de travail. </w:t>
            </w:r>
          </w:p>
          <w:p w14:paraId="68353447" w14:textId="44503BD5" w:rsidR="004553EE" w:rsidRPr="0074541C" w:rsidRDefault="00E4631B" w:rsidP="00190848">
            <w:pPr>
              <w:pStyle w:val="Para"/>
              <w:rPr>
                <w:sz w:val="18"/>
                <w:szCs w:val="18"/>
              </w:rPr>
            </w:pPr>
            <w:r>
              <w:rPr>
                <w:sz w:val="18"/>
                <w:szCs w:val="18"/>
                <w:lang w:bidi="fr-FR"/>
              </w:rPr>
              <w:t>Au Danemark, le décret relatif à l</w:t>
            </w:r>
            <w:r w:rsidR="001E584B">
              <w:rPr>
                <w:sz w:val="18"/>
                <w:szCs w:val="18"/>
                <w:lang w:bidi="fr-FR"/>
              </w:rPr>
              <w:t>’</w:t>
            </w:r>
            <w:r>
              <w:rPr>
                <w:sz w:val="18"/>
                <w:szCs w:val="18"/>
                <w:lang w:bidi="fr-FR"/>
              </w:rPr>
              <w:t>enseignement d</w:t>
            </w:r>
            <w:r w:rsidR="001E584B">
              <w:rPr>
                <w:sz w:val="18"/>
                <w:szCs w:val="18"/>
                <w:lang w:bidi="fr-FR"/>
              </w:rPr>
              <w:t>’</w:t>
            </w:r>
            <w:r>
              <w:rPr>
                <w:sz w:val="18"/>
                <w:szCs w:val="18"/>
                <w:lang w:bidi="fr-FR"/>
              </w:rPr>
              <w:t>urgence, adopté en raison de la pandémie, a été élaboré en collaboration avec les syndicats de l</w:t>
            </w:r>
            <w:r w:rsidR="001E584B">
              <w:rPr>
                <w:sz w:val="18"/>
                <w:szCs w:val="18"/>
                <w:lang w:bidi="fr-FR"/>
              </w:rPr>
              <w:t>’</w:t>
            </w:r>
            <w:r>
              <w:rPr>
                <w:sz w:val="18"/>
                <w:szCs w:val="18"/>
                <w:lang w:bidi="fr-FR"/>
              </w:rPr>
              <w:t>éducation. Grâce à la longue tradition de dialogue social et politique du pays et à la grande confiance qui règne entre le gouvernement et les syndicats de l</w:t>
            </w:r>
            <w:r w:rsidR="001E584B">
              <w:rPr>
                <w:sz w:val="18"/>
                <w:szCs w:val="18"/>
                <w:lang w:bidi="fr-FR"/>
              </w:rPr>
              <w:t>’</w:t>
            </w:r>
            <w:r>
              <w:rPr>
                <w:sz w:val="18"/>
                <w:szCs w:val="18"/>
                <w:lang w:bidi="fr-FR"/>
              </w:rPr>
              <w:t>éducation, les méthodes d</w:t>
            </w:r>
            <w:r w:rsidR="001E584B">
              <w:rPr>
                <w:sz w:val="18"/>
                <w:szCs w:val="18"/>
                <w:lang w:bidi="fr-FR"/>
              </w:rPr>
              <w:t>’</w:t>
            </w:r>
            <w:r>
              <w:rPr>
                <w:sz w:val="18"/>
                <w:szCs w:val="18"/>
                <w:lang w:bidi="fr-FR"/>
              </w:rPr>
              <w:t>enseignement alternatives et le retour à l</w:t>
            </w:r>
            <w:r w:rsidR="001E584B">
              <w:rPr>
                <w:sz w:val="18"/>
                <w:szCs w:val="18"/>
                <w:lang w:bidi="fr-FR"/>
              </w:rPr>
              <w:t>’</w:t>
            </w:r>
            <w:r>
              <w:rPr>
                <w:sz w:val="18"/>
                <w:szCs w:val="18"/>
                <w:lang w:bidi="fr-FR"/>
              </w:rPr>
              <w:t>école ont fait l</w:t>
            </w:r>
            <w:r w:rsidR="001E584B">
              <w:rPr>
                <w:sz w:val="18"/>
                <w:szCs w:val="18"/>
                <w:lang w:bidi="fr-FR"/>
              </w:rPr>
              <w:t>’</w:t>
            </w:r>
            <w:r>
              <w:rPr>
                <w:sz w:val="18"/>
                <w:szCs w:val="18"/>
                <w:lang w:bidi="fr-FR"/>
              </w:rPr>
              <w:t>objet de négociations intensives et d</w:t>
            </w:r>
            <w:r w:rsidR="001E584B">
              <w:rPr>
                <w:sz w:val="18"/>
                <w:szCs w:val="18"/>
                <w:lang w:bidi="fr-FR"/>
              </w:rPr>
              <w:t>’</w:t>
            </w:r>
            <w:r>
              <w:rPr>
                <w:sz w:val="18"/>
                <w:szCs w:val="18"/>
                <w:lang w:bidi="fr-FR"/>
              </w:rPr>
              <w:t>un accord qui ont permis à ce décret d</w:t>
            </w:r>
            <w:r w:rsidR="001E584B">
              <w:rPr>
                <w:sz w:val="18"/>
                <w:szCs w:val="18"/>
                <w:lang w:bidi="fr-FR"/>
              </w:rPr>
              <w:t>’</w:t>
            </w:r>
            <w:r>
              <w:rPr>
                <w:sz w:val="18"/>
                <w:szCs w:val="18"/>
                <w:lang w:bidi="fr-FR"/>
              </w:rPr>
              <w:t>être promulgué moins d</w:t>
            </w:r>
            <w:r w:rsidR="001E584B">
              <w:rPr>
                <w:sz w:val="18"/>
                <w:szCs w:val="18"/>
                <w:lang w:bidi="fr-FR"/>
              </w:rPr>
              <w:t>’</w:t>
            </w:r>
            <w:r>
              <w:rPr>
                <w:sz w:val="18"/>
                <w:szCs w:val="18"/>
                <w:lang w:bidi="fr-FR"/>
              </w:rPr>
              <w:t>une semaine après la fermeture des écoles. Les syndicats de l</w:t>
            </w:r>
            <w:r w:rsidR="001E584B">
              <w:rPr>
                <w:sz w:val="18"/>
                <w:szCs w:val="18"/>
                <w:lang w:bidi="fr-FR"/>
              </w:rPr>
              <w:t>’</w:t>
            </w:r>
            <w:r>
              <w:rPr>
                <w:sz w:val="18"/>
                <w:szCs w:val="18"/>
                <w:lang w:bidi="fr-FR"/>
              </w:rPr>
              <w:t>éducation sont également invités à participer au plan de relance du Danemark, ainsi qu</w:t>
            </w:r>
            <w:r w:rsidR="001E584B">
              <w:rPr>
                <w:sz w:val="18"/>
                <w:szCs w:val="18"/>
                <w:lang w:bidi="fr-FR"/>
              </w:rPr>
              <w:t>’</w:t>
            </w:r>
            <w:r>
              <w:rPr>
                <w:sz w:val="18"/>
                <w:szCs w:val="18"/>
                <w:lang w:bidi="fr-FR"/>
              </w:rPr>
              <w:t>au dialogue dans le cadre de la Facilité pour la reprise et la résilience de l</w:t>
            </w:r>
            <w:r w:rsidR="001E584B">
              <w:rPr>
                <w:sz w:val="18"/>
                <w:szCs w:val="18"/>
                <w:lang w:bidi="fr-FR"/>
              </w:rPr>
              <w:t>’</w:t>
            </w:r>
            <w:r>
              <w:rPr>
                <w:sz w:val="18"/>
                <w:szCs w:val="18"/>
                <w:lang w:bidi="fr-FR"/>
              </w:rPr>
              <w:t>Union européenne qui s</w:t>
            </w:r>
            <w:r w:rsidR="001E584B">
              <w:rPr>
                <w:sz w:val="18"/>
                <w:szCs w:val="18"/>
                <w:lang w:bidi="fr-FR"/>
              </w:rPr>
              <w:t>’</w:t>
            </w:r>
            <w:r>
              <w:rPr>
                <w:sz w:val="18"/>
                <w:szCs w:val="18"/>
                <w:lang w:bidi="fr-FR"/>
              </w:rPr>
              <w:t>appliquera à l</w:t>
            </w:r>
            <w:r w:rsidR="001E584B">
              <w:rPr>
                <w:sz w:val="18"/>
                <w:szCs w:val="18"/>
                <w:lang w:bidi="fr-FR"/>
              </w:rPr>
              <w:t>’</w:t>
            </w:r>
            <w:r>
              <w:rPr>
                <w:sz w:val="18"/>
                <w:szCs w:val="18"/>
                <w:lang w:bidi="fr-FR"/>
              </w:rPr>
              <w:t>ensemble des États membres de l</w:t>
            </w:r>
            <w:r w:rsidR="001E584B">
              <w:rPr>
                <w:sz w:val="18"/>
                <w:szCs w:val="18"/>
                <w:lang w:bidi="fr-FR"/>
              </w:rPr>
              <w:t>’</w:t>
            </w:r>
            <w:r>
              <w:rPr>
                <w:sz w:val="18"/>
                <w:szCs w:val="18"/>
                <w:lang w:bidi="fr-FR"/>
              </w:rPr>
              <w:t>UE. Les principaux thèmes de discussion du syndicat concernant la relance</w:t>
            </w:r>
            <w:r w:rsidR="004553EE" w:rsidRPr="001E584B">
              <w:rPr>
                <w:sz w:val="18"/>
                <w:szCs w:val="18"/>
                <w:lang w:bidi="fr-FR"/>
              </w:rPr>
              <w:t>, tirés de son expérience de la pandémie, sont notamment la reconnaissance de l</w:t>
            </w:r>
            <w:r w:rsidR="001E584B" w:rsidRPr="001E584B">
              <w:rPr>
                <w:sz w:val="18"/>
                <w:szCs w:val="18"/>
                <w:lang w:bidi="fr-FR"/>
              </w:rPr>
              <w:t>’</w:t>
            </w:r>
            <w:r w:rsidR="004553EE" w:rsidRPr="001E584B">
              <w:rPr>
                <w:sz w:val="18"/>
                <w:szCs w:val="18"/>
                <w:lang w:bidi="fr-FR"/>
              </w:rPr>
              <w:t>interconnexion entre bien-être et résultats scolaires, l</w:t>
            </w:r>
            <w:r w:rsidR="001E584B" w:rsidRPr="001E584B">
              <w:rPr>
                <w:sz w:val="18"/>
                <w:szCs w:val="18"/>
                <w:lang w:bidi="fr-FR"/>
              </w:rPr>
              <w:t>’</w:t>
            </w:r>
            <w:r w:rsidR="004553EE" w:rsidRPr="001E584B">
              <w:rPr>
                <w:sz w:val="18"/>
                <w:szCs w:val="18"/>
                <w:lang w:bidi="fr-FR"/>
              </w:rPr>
              <w:t xml:space="preserve">importance cruciale de soumettre la technologie à un contrôle professionnel et la nécessité de disposer de lignes directrices contextuelles claires des autorités sanitaires, de prévoir des journées scolaires </w:t>
            </w:r>
            <w:r w:rsidR="004553EE" w:rsidRPr="00FB2714">
              <w:rPr>
                <w:sz w:val="18"/>
                <w:szCs w:val="18"/>
                <w:lang w:bidi="fr-FR"/>
              </w:rPr>
              <w:t>moins longues et de réduire la taille des groupes d</w:t>
            </w:r>
            <w:r w:rsidR="001E584B">
              <w:rPr>
                <w:sz w:val="18"/>
                <w:szCs w:val="18"/>
                <w:lang w:bidi="fr-FR"/>
              </w:rPr>
              <w:t>’</w:t>
            </w:r>
            <w:r w:rsidR="004553EE" w:rsidRPr="00FB2714">
              <w:rPr>
                <w:sz w:val="18"/>
                <w:szCs w:val="18"/>
                <w:lang w:bidi="fr-FR"/>
              </w:rPr>
              <w:t>élèves. De même, le gouvernement finlandais et le syndicat de l</w:t>
            </w:r>
            <w:r w:rsidR="001E584B">
              <w:rPr>
                <w:sz w:val="18"/>
                <w:szCs w:val="18"/>
                <w:lang w:bidi="fr-FR"/>
              </w:rPr>
              <w:t>’</w:t>
            </w:r>
            <w:r w:rsidR="004553EE" w:rsidRPr="00FB2714">
              <w:rPr>
                <w:sz w:val="18"/>
                <w:szCs w:val="18"/>
                <w:lang w:bidi="fr-FR"/>
              </w:rPr>
              <w:t>éducation OAJ s</w:t>
            </w:r>
            <w:r w:rsidR="001E584B">
              <w:rPr>
                <w:sz w:val="18"/>
                <w:szCs w:val="18"/>
                <w:lang w:bidi="fr-FR"/>
              </w:rPr>
              <w:t>’</w:t>
            </w:r>
            <w:r w:rsidR="004553EE" w:rsidRPr="00FB2714">
              <w:rPr>
                <w:sz w:val="18"/>
                <w:szCs w:val="18"/>
                <w:lang w:bidi="fr-FR"/>
              </w:rPr>
              <w:t>accordent à dire que le bien-être des élèves, l</w:t>
            </w:r>
            <w:r w:rsidR="001E584B">
              <w:rPr>
                <w:sz w:val="18"/>
                <w:szCs w:val="18"/>
                <w:lang w:bidi="fr-FR"/>
              </w:rPr>
              <w:t>’</w:t>
            </w:r>
            <w:r w:rsidR="004553EE" w:rsidRPr="00FB2714">
              <w:rPr>
                <w:sz w:val="18"/>
                <w:szCs w:val="18"/>
                <w:lang w:bidi="fr-FR"/>
              </w:rPr>
              <w:t>isolement et le stress sont désormais des questions fondamentales et qu</w:t>
            </w:r>
            <w:r w:rsidR="001E584B">
              <w:rPr>
                <w:sz w:val="18"/>
                <w:szCs w:val="18"/>
                <w:lang w:bidi="fr-FR"/>
              </w:rPr>
              <w:t>’</w:t>
            </w:r>
            <w:r w:rsidR="004553EE" w:rsidRPr="00FB2714">
              <w:rPr>
                <w:sz w:val="18"/>
                <w:szCs w:val="18"/>
                <w:lang w:bidi="fr-FR"/>
              </w:rPr>
              <w:t>il est urgent de reprendre l</w:t>
            </w:r>
            <w:r w:rsidR="001E584B">
              <w:rPr>
                <w:sz w:val="18"/>
                <w:szCs w:val="18"/>
                <w:lang w:bidi="fr-FR"/>
              </w:rPr>
              <w:t>’</w:t>
            </w:r>
            <w:r w:rsidR="004553EE" w:rsidRPr="00FB2714">
              <w:rPr>
                <w:sz w:val="18"/>
                <w:szCs w:val="18"/>
                <w:lang w:bidi="fr-FR"/>
              </w:rPr>
              <w:t xml:space="preserve">enseignement présentiel. </w:t>
            </w:r>
          </w:p>
          <w:p w14:paraId="7C3B8355" w14:textId="1F503A57" w:rsidR="004553EE" w:rsidRPr="00FB2714" w:rsidRDefault="004553EE" w:rsidP="00190848">
            <w:pPr>
              <w:pStyle w:val="Para"/>
              <w:rPr>
                <w:sz w:val="18"/>
                <w:szCs w:val="18"/>
              </w:rPr>
            </w:pPr>
            <w:r w:rsidRPr="00FB2714">
              <w:rPr>
                <w:sz w:val="18"/>
                <w:szCs w:val="18"/>
                <w:lang w:bidi="fr-FR"/>
              </w:rPr>
              <w:t>En Écosse (Royaume-Uni), un groupe pour la relance de l</w:t>
            </w:r>
            <w:r w:rsidR="001E584B">
              <w:rPr>
                <w:sz w:val="18"/>
                <w:szCs w:val="18"/>
                <w:lang w:bidi="fr-FR"/>
              </w:rPr>
              <w:t>’</w:t>
            </w:r>
            <w:r w:rsidRPr="00FB2714">
              <w:rPr>
                <w:sz w:val="18"/>
                <w:szCs w:val="18"/>
                <w:lang w:bidi="fr-FR"/>
              </w:rPr>
              <w:t xml:space="preserve">éducation, le CERG, a été formé au début de la pandémie, auquel participent les </w:t>
            </w:r>
            <w:proofErr w:type="spellStart"/>
            <w:r w:rsidRPr="00FB2714">
              <w:rPr>
                <w:sz w:val="18"/>
                <w:szCs w:val="18"/>
                <w:lang w:bidi="fr-FR"/>
              </w:rPr>
              <w:t>représentant·e·s</w:t>
            </w:r>
            <w:proofErr w:type="spellEnd"/>
            <w:r w:rsidRPr="00FB2714">
              <w:rPr>
                <w:sz w:val="18"/>
                <w:szCs w:val="18"/>
                <w:lang w:bidi="fr-FR"/>
              </w:rPr>
              <w:t xml:space="preserve"> de plusieurs entités (Education Institute of Scotland, divers autres syndicats, Scottish General </w:t>
            </w:r>
            <w:proofErr w:type="spellStart"/>
            <w:r w:rsidRPr="00FB2714">
              <w:rPr>
                <w:sz w:val="18"/>
                <w:szCs w:val="18"/>
                <w:lang w:bidi="fr-FR"/>
              </w:rPr>
              <w:t>Teaching</w:t>
            </w:r>
            <w:proofErr w:type="spellEnd"/>
            <w:r w:rsidRPr="00FB2714">
              <w:rPr>
                <w:sz w:val="18"/>
                <w:szCs w:val="18"/>
                <w:lang w:bidi="fr-FR"/>
              </w:rPr>
              <w:t xml:space="preserve"> Council, autorités locales et organisations de parents). Bien qu</w:t>
            </w:r>
            <w:r w:rsidR="001E584B">
              <w:rPr>
                <w:sz w:val="18"/>
                <w:szCs w:val="18"/>
                <w:lang w:bidi="fr-FR"/>
              </w:rPr>
              <w:t>’</w:t>
            </w:r>
            <w:r w:rsidRPr="00FB2714">
              <w:rPr>
                <w:sz w:val="18"/>
                <w:szCs w:val="18"/>
                <w:lang w:bidi="fr-FR"/>
              </w:rPr>
              <w:t xml:space="preserve">il </w:t>
            </w:r>
            <w:r w:rsidRPr="00FB2714">
              <w:rPr>
                <w:sz w:val="18"/>
                <w:szCs w:val="18"/>
                <w:lang w:bidi="fr-FR"/>
              </w:rPr>
              <w:lastRenderedPageBreak/>
              <w:t>appartienne au gouvernement écossais de prendre les décisions, le CERG reste un forum important pour orienter les réponses du système éducatif à la pandémie. Il se réunit chaque semaine et est présidé par le vice-Premier ministre. Le CERG formule des conseils concernant les mesures de prévention dans les écoles, la santé et la sécurité et reçoit régulièrement des informations et des données scientifiques concernant les écoles. Il joue aussi le rôle de centre d</w:t>
            </w:r>
            <w:r w:rsidR="001E584B">
              <w:rPr>
                <w:sz w:val="18"/>
                <w:szCs w:val="18"/>
                <w:lang w:bidi="fr-FR"/>
              </w:rPr>
              <w:t>’</w:t>
            </w:r>
            <w:r w:rsidRPr="00FB2714">
              <w:rPr>
                <w:sz w:val="18"/>
                <w:szCs w:val="18"/>
                <w:lang w:bidi="fr-FR"/>
              </w:rPr>
              <w:t>échange d</w:t>
            </w:r>
            <w:r w:rsidR="001E584B">
              <w:rPr>
                <w:sz w:val="18"/>
                <w:szCs w:val="18"/>
                <w:lang w:bidi="fr-FR"/>
              </w:rPr>
              <w:t>’</w:t>
            </w:r>
            <w:r w:rsidRPr="00FB2714">
              <w:rPr>
                <w:sz w:val="18"/>
                <w:szCs w:val="18"/>
                <w:lang w:bidi="fr-FR"/>
              </w:rPr>
              <w:t>informations concernant les systèmes d</w:t>
            </w:r>
            <w:r w:rsidR="001E584B">
              <w:rPr>
                <w:sz w:val="18"/>
                <w:szCs w:val="18"/>
                <w:lang w:bidi="fr-FR"/>
              </w:rPr>
              <w:t>’</w:t>
            </w:r>
            <w:r w:rsidRPr="00FB2714">
              <w:rPr>
                <w:sz w:val="18"/>
                <w:szCs w:val="18"/>
                <w:lang w:bidi="fr-FR"/>
              </w:rPr>
              <w:t>apprentissage à distance et les plans de réouverture progressive des écoles. L</w:t>
            </w:r>
            <w:r w:rsidR="001E584B">
              <w:rPr>
                <w:sz w:val="18"/>
                <w:szCs w:val="18"/>
                <w:lang w:bidi="fr-FR"/>
              </w:rPr>
              <w:t>’</w:t>
            </w:r>
            <w:r w:rsidRPr="00FB2714">
              <w:rPr>
                <w:sz w:val="18"/>
                <w:szCs w:val="18"/>
                <w:lang w:bidi="fr-FR"/>
              </w:rPr>
              <w:t>Écosse a réalisé des investissements considérables dans les nouveaux postes d</w:t>
            </w:r>
            <w:r w:rsidR="001E584B">
              <w:rPr>
                <w:sz w:val="18"/>
                <w:szCs w:val="18"/>
                <w:lang w:bidi="fr-FR"/>
              </w:rPr>
              <w:t>’</w:t>
            </w:r>
            <w:r w:rsidRPr="00FB2714">
              <w:rPr>
                <w:sz w:val="18"/>
                <w:szCs w:val="18"/>
                <w:lang w:bidi="fr-FR"/>
              </w:rPr>
              <w:t xml:space="preserve">enseignement et les équipements informatiques pour les élèves </w:t>
            </w:r>
            <w:proofErr w:type="spellStart"/>
            <w:r w:rsidRPr="00FB2714">
              <w:rPr>
                <w:sz w:val="18"/>
                <w:szCs w:val="18"/>
                <w:lang w:bidi="fr-FR"/>
              </w:rPr>
              <w:t>issu·e·s</w:t>
            </w:r>
            <w:proofErr w:type="spellEnd"/>
            <w:r w:rsidRPr="00FB2714">
              <w:rPr>
                <w:sz w:val="18"/>
                <w:szCs w:val="18"/>
                <w:lang w:bidi="fr-FR"/>
              </w:rPr>
              <w:t xml:space="preserve"> de milieux plus pauvres. Les parents et les élèves se sont déclarés satisfaits des services d</w:t>
            </w:r>
            <w:r w:rsidR="001E584B">
              <w:rPr>
                <w:sz w:val="18"/>
                <w:szCs w:val="18"/>
                <w:lang w:bidi="fr-FR"/>
              </w:rPr>
              <w:t>’</w:t>
            </w:r>
            <w:r w:rsidRPr="00FB2714">
              <w:rPr>
                <w:sz w:val="18"/>
                <w:szCs w:val="18"/>
                <w:lang w:bidi="fr-FR"/>
              </w:rPr>
              <w:t>apprentissage à distance durant le deuxième confinement du pays. À la suite de la décision d</w:t>
            </w:r>
            <w:r w:rsidR="001E584B">
              <w:rPr>
                <w:sz w:val="18"/>
                <w:szCs w:val="18"/>
                <w:lang w:bidi="fr-FR"/>
              </w:rPr>
              <w:t>’</w:t>
            </w:r>
            <w:r w:rsidRPr="00FB2714">
              <w:rPr>
                <w:sz w:val="18"/>
                <w:szCs w:val="18"/>
                <w:lang w:bidi="fr-FR"/>
              </w:rPr>
              <w:t xml:space="preserve">annuler les examens traditionnels pour les remplacer par des notes basées sur le jugement professionnel des </w:t>
            </w:r>
            <w:proofErr w:type="spellStart"/>
            <w:r w:rsidRPr="00FB2714">
              <w:rPr>
                <w:sz w:val="18"/>
                <w:szCs w:val="18"/>
                <w:lang w:bidi="fr-FR"/>
              </w:rPr>
              <w:t>enseignant·e·s</w:t>
            </w:r>
            <w:proofErr w:type="spellEnd"/>
            <w:r w:rsidRPr="00FB2714">
              <w:rPr>
                <w:sz w:val="18"/>
                <w:szCs w:val="18"/>
                <w:lang w:bidi="fr-FR"/>
              </w:rPr>
              <w:t>, un comité intersectoriel a été chargé de superviser un modèle de certification alternatif.</w:t>
            </w:r>
          </w:p>
          <w:p w14:paraId="221F302B" w14:textId="462FEA10" w:rsidR="004553EE" w:rsidRDefault="3BFB1DD4" w:rsidP="0074541C">
            <w:pPr>
              <w:pStyle w:val="Para"/>
              <w:rPr>
                <w:sz w:val="18"/>
                <w:szCs w:val="18"/>
              </w:rPr>
            </w:pPr>
            <w:r w:rsidRPr="3BFB1DD4">
              <w:rPr>
                <w:sz w:val="18"/>
                <w:szCs w:val="18"/>
                <w:lang w:bidi="fr-FR"/>
              </w:rPr>
              <w:t>En Australie, même si, à la date du mois de mars 2021, le pays avait évité le pire de la pandémie, l</w:t>
            </w:r>
            <w:r w:rsidR="001E584B">
              <w:rPr>
                <w:sz w:val="18"/>
                <w:szCs w:val="18"/>
                <w:lang w:bidi="fr-FR"/>
              </w:rPr>
              <w:t>’</w:t>
            </w:r>
            <w:proofErr w:type="spellStart"/>
            <w:r w:rsidRPr="3BFB1DD4">
              <w:rPr>
                <w:i/>
                <w:sz w:val="18"/>
                <w:szCs w:val="18"/>
                <w:lang w:bidi="fr-FR"/>
              </w:rPr>
              <w:t>Australian</w:t>
            </w:r>
            <w:proofErr w:type="spellEnd"/>
            <w:r w:rsidRPr="3BFB1DD4">
              <w:rPr>
                <w:i/>
                <w:sz w:val="18"/>
                <w:szCs w:val="18"/>
                <w:lang w:bidi="fr-FR"/>
              </w:rPr>
              <w:t xml:space="preserve"> Education Union </w:t>
            </w:r>
            <w:r w:rsidRPr="3BFB1DD4">
              <w:rPr>
                <w:sz w:val="18"/>
                <w:szCs w:val="18"/>
                <w:lang w:bidi="fr-FR"/>
              </w:rPr>
              <w:t>(AEU) a néanmoins estimé que « la période d</w:t>
            </w:r>
            <w:r w:rsidR="001E584B">
              <w:rPr>
                <w:sz w:val="18"/>
                <w:szCs w:val="18"/>
                <w:lang w:bidi="fr-FR"/>
              </w:rPr>
              <w:t>’</w:t>
            </w:r>
            <w:r w:rsidRPr="3BFB1DD4">
              <w:rPr>
                <w:sz w:val="18"/>
                <w:szCs w:val="18"/>
                <w:lang w:bidi="fr-FR"/>
              </w:rPr>
              <w:t>enseignement et d</w:t>
            </w:r>
            <w:r w:rsidR="001E584B">
              <w:rPr>
                <w:sz w:val="18"/>
                <w:szCs w:val="18"/>
                <w:lang w:bidi="fr-FR"/>
              </w:rPr>
              <w:t>’</w:t>
            </w:r>
            <w:r w:rsidRPr="3BFB1DD4">
              <w:rPr>
                <w:sz w:val="18"/>
                <w:szCs w:val="18"/>
                <w:lang w:bidi="fr-FR"/>
              </w:rPr>
              <w:t>apprentissage à distance prolongée avait mis en lumière le problème crucial du manque d</w:t>
            </w:r>
            <w:r w:rsidR="001E584B">
              <w:rPr>
                <w:sz w:val="18"/>
                <w:szCs w:val="18"/>
                <w:lang w:bidi="fr-FR"/>
              </w:rPr>
              <w:t>’</w:t>
            </w:r>
            <w:r w:rsidRPr="3BFB1DD4">
              <w:rPr>
                <w:sz w:val="18"/>
                <w:szCs w:val="18"/>
                <w:lang w:bidi="fr-FR"/>
              </w:rPr>
              <w:t>inclusion numérique pour un grand nombre d</w:t>
            </w:r>
            <w:r w:rsidR="001E584B">
              <w:rPr>
                <w:sz w:val="18"/>
                <w:szCs w:val="18"/>
                <w:lang w:bidi="fr-FR"/>
              </w:rPr>
              <w:t>’</w:t>
            </w:r>
            <w:r w:rsidRPr="3BFB1DD4">
              <w:rPr>
                <w:sz w:val="18"/>
                <w:szCs w:val="18"/>
                <w:lang w:bidi="fr-FR"/>
              </w:rPr>
              <w:t xml:space="preserve">élèves ». Raison pour laquelle le syndicat a commandité une </w:t>
            </w:r>
            <w:hyperlink r:id="rId49">
              <w:r w:rsidRPr="3BFB1DD4">
                <w:rPr>
                  <w:rStyle w:val="Hyperlink"/>
                  <w:sz w:val="18"/>
                  <w:szCs w:val="18"/>
                  <w:lang w:bidi="fr-FR"/>
                </w:rPr>
                <w:t>recherche pour faire le point sur l</w:t>
              </w:r>
              <w:r w:rsidR="001E584B">
                <w:rPr>
                  <w:rStyle w:val="Hyperlink"/>
                  <w:sz w:val="18"/>
                  <w:szCs w:val="18"/>
                  <w:lang w:bidi="fr-FR"/>
                </w:rPr>
                <w:t>’</w:t>
              </w:r>
              <w:r w:rsidRPr="3BFB1DD4">
                <w:rPr>
                  <w:rStyle w:val="Hyperlink"/>
                  <w:sz w:val="18"/>
                  <w:szCs w:val="18"/>
                  <w:lang w:bidi="fr-FR"/>
                </w:rPr>
                <w:t>accès à Internet des élèves en Australie</w:t>
              </w:r>
            </w:hyperlink>
            <w:r w:rsidRPr="3BFB1DD4">
              <w:rPr>
                <w:sz w:val="18"/>
                <w:szCs w:val="18"/>
                <w:lang w:bidi="fr-FR"/>
              </w:rPr>
              <w:t xml:space="preserve"> et déterminer le degré d</w:t>
            </w:r>
            <w:r w:rsidR="001E584B">
              <w:rPr>
                <w:sz w:val="18"/>
                <w:szCs w:val="18"/>
                <w:lang w:bidi="fr-FR"/>
              </w:rPr>
              <w:t>’</w:t>
            </w:r>
            <w:r w:rsidRPr="3BFB1DD4">
              <w:rPr>
                <w:sz w:val="18"/>
                <w:szCs w:val="18"/>
                <w:lang w:bidi="fr-FR"/>
              </w:rPr>
              <w:t>inclusion numérique. L</w:t>
            </w:r>
            <w:r w:rsidR="001E584B">
              <w:rPr>
                <w:sz w:val="18"/>
                <w:szCs w:val="18"/>
                <w:lang w:bidi="fr-FR"/>
              </w:rPr>
              <w:t>’</w:t>
            </w:r>
            <w:r w:rsidRPr="3BFB1DD4">
              <w:rPr>
                <w:sz w:val="18"/>
                <w:szCs w:val="18"/>
                <w:lang w:bidi="fr-FR"/>
              </w:rPr>
              <w:t xml:space="preserve">AEU a également demandé de mener des </w:t>
            </w:r>
            <w:hyperlink r:id="rId50">
              <w:r w:rsidRPr="3BFB1DD4">
                <w:rPr>
                  <w:rStyle w:val="Hyperlink"/>
                  <w:sz w:val="18"/>
                  <w:szCs w:val="18"/>
                  <w:lang w:bidi="fr-FR"/>
                </w:rPr>
                <w:t>audits sur l</w:t>
              </w:r>
              <w:r w:rsidR="001E584B">
                <w:rPr>
                  <w:rStyle w:val="Hyperlink"/>
                  <w:sz w:val="18"/>
                  <w:szCs w:val="18"/>
                  <w:lang w:bidi="fr-FR"/>
                </w:rPr>
                <w:t>’</w:t>
              </w:r>
              <w:r w:rsidRPr="3BFB1DD4">
                <w:rPr>
                  <w:rStyle w:val="Hyperlink"/>
                  <w:sz w:val="18"/>
                  <w:szCs w:val="18"/>
                  <w:lang w:bidi="fr-FR"/>
                </w:rPr>
                <w:t>équité numérique</w:t>
              </w:r>
            </w:hyperlink>
            <w:r w:rsidRPr="3BFB1DD4">
              <w:rPr>
                <w:sz w:val="18"/>
                <w:szCs w:val="18"/>
                <w:lang w:bidi="fr-FR"/>
              </w:rPr>
              <w:t xml:space="preserve"> à l</w:t>
            </w:r>
            <w:r w:rsidR="001E584B">
              <w:rPr>
                <w:sz w:val="18"/>
                <w:szCs w:val="18"/>
                <w:lang w:bidi="fr-FR"/>
              </w:rPr>
              <w:t>’</w:t>
            </w:r>
            <w:r w:rsidRPr="3BFB1DD4">
              <w:rPr>
                <w:sz w:val="18"/>
                <w:szCs w:val="18"/>
                <w:lang w:bidi="fr-FR"/>
              </w:rPr>
              <w:t>échelon national afin de pouvoir déployer des plans d</w:t>
            </w:r>
            <w:r w:rsidR="001E584B">
              <w:rPr>
                <w:sz w:val="18"/>
                <w:szCs w:val="18"/>
                <w:lang w:bidi="fr-FR"/>
              </w:rPr>
              <w:t>’</w:t>
            </w:r>
            <w:r w:rsidRPr="3BFB1DD4">
              <w:rPr>
                <w:sz w:val="18"/>
                <w:szCs w:val="18"/>
                <w:lang w:bidi="fr-FR"/>
              </w:rPr>
              <w:t>action globaux fondés sur des données factuelles qui, selon l</w:t>
            </w:r>
            <w:r w:rsidR="001E584B">
              <w:rPr>
                <w:sz w:val="18"/>
                <w:szCs w:val="18"/>
                <w:lang w:bidi="fr-FR"/>
              </w:rPr>
              <w:t>’</w:t>
            </w:r>
            <w:r w:rsidRPr="3BFB1DD4">
              <w:rPr>
                <w:sz w:val="18"/>
                <w:szCs w:val="18"/>
                <w:lang w:bidi="fr-FR"/>
              </w:rPr>
              <w:t>organisation, doivent être définis en consultation avec les syndicats de l</w:t>
            </w:r>
            <w:r w:rsidR="001E584B">
              <w:rPr>
                <w:sz w:val="18"/>
                <w:szCs w:val="18"/>
                <w:lang w:bidi="fr-FR"/>
              </w:rPr>
              <w:t>’</w:t>
            </w:r>
            <w:r w:rsidRPr="3BFB1DD4">
              <w:rPr>
                <w:sz w:val="18"/>
                <w:szCs w:val="18"/>
                <w:lang w:bidi="fr-FR"/>
              </w:rPr>
              <w:t>éducation. Le gouvernement de la Nouvelle-Galles du Sud, par exemple, a lancé un programme de 337 millions de dollars australiens, visant à apporter un soutien pédagogique supplémentaire pour l</w:t>
            </w:r>
            <w:r w:rsidR="001E584B">
              <w:rPr>
                <w:sz w:val="18"/>
                <w:szCs w:val="18"/>
                <w:lang w:bidi="fr-FR"/>
              </w:rPr>
              <w:t>’</w:t>
            </w:r>
            <w:r w:rsidRPr="3BFB1DD4">
              <w:rPr>
                <w:sz w:val="18"/>
                <w:szCs w:val="18"/>
                <w:lang w:bidi="fr-FR"/>
              </w:rPr>
              <w:t>organisation de cours en petits groupes adressés aux élèves éligibles dans chaque école. En Nouvelle-Galles du Sud, l</w:t>
            </w:r>
            <w:r w:rsidR="001E584B">
              <w:rPr>
                <w:sz w:val="18"/>
                <w:szCs w:val="18"/>
                <w:lang w:bidi="fr-FR"/>
              </w:rPr>
              <w:t>’</w:t>
            </w:r>
            <w:r w:rsidRPr="3BFB1DD4">
              <w:rPr>
                <w:sz w:val="18"/>
                <w:szCs w:val="18"/>
                <w:lang w:bidi="fr-FR"/>
              </w:rPr>
              <w:t>AEU s</w:t>
            </w:r>
            <w:r w:rsidR="001E584B">
              <w:rPr>
                <w:sz w:val="18"/>
                <w:szCs w:val="18"/>
                <w:lang w:bidi="fr-FR"/>
              </w:rPr>
              <w:t>’</w:t>
            </w:r>
            <w:r w:rsidRPr="3BFB1DD4">
              <w:rPr>
                <w:sz w:val="18"/>
                <w:szCs w:val="18"/>
                <w:lang w:bidi="fr-FR"/>
              </w:rPr>
              <w:t>est engagé à collaborer avec le gouvernement pour garantir la mise en œuvre efficace de ce programme.</w:t>
            </w:r>
          </w:p>
          <w:p w14:paraId="30D807C0" w14:textId="594CC2CA" w:rsidR="00E45422" w:rsidRPr="006B0D73" w:rsidRDefault="00E45422" w:rsidP="0074541C">
            <w:pPr>
              <w:pStyle w:val="Para"/>
              <w:rPr>
                <w:sz w:val="18"/>
                <w:szCs w:val="18"/>
              </w:rPr>
            </w:pPr>
            <w:r w:rsidRPr="00A031C1">
              <w:rPr>
                <w:sz w:val="18"/>
                <w:szCs w:val="18"/>
                <w:lang w:bidi="fr-FR"/>
              </w:rPr>
              <w:t>Plusieurs syndicats de l</w:t>
            </w:r>
            <w:r w:rsidR="001E584B">
              <w:rPr>
                <w:sz w:val="18"/>
                <w:szCs w:val="18"/>
                <w:lang w:bidi="fr-FR"/>
              </w:rPr>
              <w:t>’</w:t>
            </w:r>
            <w:r w:rsidRPr="00A031C1">
              <w:rPr>
                <w:sz w:val="18"/>
                <w:szCs w:val="18"/>
                <w:lang w:bidi="fr-FR"/>
              </w:rPr>
              <w:t>éducation (UIL-</w:t>
            </w:r>
            <w:proofErr w:type="spellStart"/>
            <w:r w:rsidRPr="00A031C1">
              <w:rPr>
                <w:sz w:val="18"/>
                <w:szCs w:val="18"/>
                <w:lang w:bidi="fr-FR"/>
              </w:rPr>
              <w:t>Scuola</w:t>
            </w:r>
            <w:proofErr w:type="spellEnd"/>
            <w:r w:rsidRPr="00A031C1">
              <w:rPr>
                <w:sz w:val="18"/>
                <w:szCs w:val="18"/>
                <w:lang w:bidi="fr-FR"/>
              </w:rPr>
              <w:t>/Italie et NEU/Royaume-Uni) ont élaboré leurs propres plans de relance, lesquels servent de base aux négociations avec les autorités.</w:t>
            </w:r>
          </w:p>
        </w:tc>
      </w:tr>
    </w:tbl>
    <w:p w14:paraId="272B824E" w14:textId="77777777" w:rsidR="00F4274B" w:rsidRDefault="00F4274B" w:rsidP="00175CA8">
      <w:pPr>
        <w:pStyle w:val="Para"/>
        <w:rPr>
          <w:b/>
        </w:rPr>
      </w:pPr>
    </w:p>
    <w:p w14:paraId="0B336D61" w14:textId="5B5AFEAC" w:rsidR="008B7236" w:rsidRPr="001F1B7C" w:rsidRDefault="008B7236" w:rsidP="00F47BCF">
      <w:pPr>
        <w:pStyle w:val="Para"/>
        <w:rPr>
          <w:i/>
        </w:rPr>
      </w:pPr>
    </w:p>
    <w:sectPr w:rsidR="008B7236" w:rsidRPr="001F1B7C" w:rsidSect="001628AE">
      <w:headerReference w:type="even" r:id="rId51"/>
      <w:headerReference w:type="default" r:id="rId52"/>
      <w:footerReference w:type="even" r:id="rId53"/>
      <w:footerReference w:type="default" r:id="rId54"/>
      <w:headerReference w:type="first" r:id="rId55"/>
      <w:footerReference w:type="first" r:id="rId56"/>
      <w:endnotePr>
        <w:numFmt w:val="decimal"/>
        <w:numRestart w:val="eachSect"/>
      </w:endnotePr>
      <w:type w:val="continuous"/>
      <w:pgSz w:w="11906" w:h="16838" w:code="9"/>
      <w:pgMar w:top="1814" w:right="1304" w:bottom="1758" w:left="1304" w:header="1247"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76F1" w14:textId="77777777" w:rsidR="00F61DC7" w:rsidRDefault="00F61DC7" w:rsidP="00CC3749"/>
  </w:endnote>
  <w:endnote w:type="continuationSeparator" w:id="0">
    <w:p w14:paraId="6E22F80D" w14:textId="77777777" w:rsidR="00F61DC7" w:rsidRPr="00CF4424" w:rsidRDefault="00F61DC7" w:rsidP="00CF4424">
      <w:pPr>
        <w:pStyle w:val="Footer"/>
        <w:jc w:val="both"/>
      </w:pPr>
    </w:p>
  </w:endnote>
  <w:endnote w:type="continuationNotice" w:id="1">
    <w:p w14:paraId="7742986E" w14:textId="77777777" w:rsidR="00F61DC7" w:rsidRDefault="00F61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217002386"/>
      <w:lock w:val="sdtLocked"/>
    </w:sdtPr>
    <w:sdtEndPr/>
    <w:sdtContent>
      <w:p w14:paraId="36C22CA6" w14:textId="77777777" w:rsidR="001E584B" w:rsidRDefault="001E584B" w:rsidP="004E100F">
        <w:pPr>
          <w:pStyle w:val="Footer"/>
          <w:jc w:val="right"/>
        </w:pPr>
        <w:r>
          <w:rPr>
            <w:lang w:bidi="fr-FR"/>
          </w:rPr>
          <w:t xml:space="preserve"> </w:t>
        </w:r>
      </w:p>
    </w:sdtContent>
  </w:sdt>
  <w:sdt>
    <w:sdtPr>
      <w:alias w:val="Classification"/>
      <w:tag w:val="txtHeaderClassif"/>
      <w:id w:val="-1918931641"/>
      <w:lock w:val="sdtLocked"/>
    </w:sdtPr>
    <w:sdtEndPr/>
    <w:sdtContent>
      <w:p w14:paraId="5237BBFD" w14:textId="77777777" w:rsidR="001E584B" w:rsidRDefault="001E584B" w:rsidP="004E100F">
        <w:pPr>
          <w:pStyle w:val="FooterClassification"/>
          <w:jc w:val="left"/>
        </w:pPr>
        <w:r>
          <w:rPr>
            <w:lang w:bidi="fr-FR"/>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884096409"/>
      <w:lock w:val="sdtLocked"/>
    </w:sdtPr>
    <w:sdtEndPr/>
    <w:sdtContent>
      <w:p w14:paraId="68CAD221" w14:textId="4705D797" w:rsidR="001E584B" w:rsidRPr="00FD7BD8" w:rsidRDefault="001E584B" w:rsidP="004E100F">
        <w:pPr>
          <w:pStyle w:val="Footer"/>
          <w:jc w:val="left"/>
          <w:rPr>
            <w:caps w:val="0"/>
            <w:szCs w:val="16"/>
          </w:rPr>
        </w:pPr>
        <w:r>
          <w:rPr>
            <w:lang w:bidi="fr-FR"/>
          </w:rPr>
          <w:t>Une reprise efficace et équitable de l’éducation</w:t>
        </w:r>
      </w:p>
    </w:sdtContent>
  </w:sdt>
  <w:sdt>
    <w:sdtPr>
      <w:alias w:val="Classification"/>
      <w:tag w:val="txtHeaderClassif"/>
      <w:id w:val="-311407045"/>
      <w:lock w:val="sdtLocked"/>
    </w:sdtPr>
    <w:sdtEndPr/>
    <w:sdtContent>
      <w:p w14:paraId="47EC36CC" w14:textId="77777777" w:rsidR="001E584B" w:rsidRPr="00FD7BD8" w:rsidRDefault="001E584B" w:rsidP="004E100F">
        <w:pPr>
          <w:pStyle w:val="FooterClassification"/>
          <w:rPr>
            <w:szCs w:val="16"/>
          </w:rPr>
        </w:pPr>
        <w:r>
          <w:rPr>
            <w:lang w:bidi="fr-FR"/>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BBCA" w14:textId="77777777" w:rsidR="001E584B" w:rsidRDefault="001E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C4C9" w14:textId="77777777" w:rsidR="00F61DC7" w:rsidRDefault="00F61DC7" w:rsidP="00CC3749">
      <w:r>
        <w:separator/>
      </w:r>
    </w:p>
  </w:footnote>
  <w:footnote w:type="continuationSeparator" w:id="0">
    <w:p w14:paraId="2555909B" w14:textId="77777777" w:rsidR="00F61DC7" w:rsidRDefault="00F61DC7" w:rsidP="00CC3749">
      <w:r>
        <w:continuationSeparator/>
      </w:r>
    </w:p>
  </w:footnote>
  <w:footnote w:type="continuationNotice" w:id="1">
    <w:p w14:paraId="3993464B" w14:textId="77777777" w:rsidR="00F61DC7" w:rsidRDefault="00F61D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731E" w14:textId="62A022F0" w:rsidR="001E584B" w:rsidRDefault="00297AF9" w:rsidP="004E100F">
    <w:pPr>
      <w:pStyle w:val="Header"/>
    </w:pPr>
    <w:sdt>
      <w:sdtPr>
        <w:rPr>
          <w:rStyle w:val="PageNumber"/>
        </w:rPr>
        <w:alias w:val="Page Number"/>
        <w:tag w:val="TxtPageNumber"/>
        <w:id w:val="-1835755985"/>
        <w:lock w:val="sdtLocked"/>
      </w:sdtPr>
      <w:sdtEndPr>
        <w:rPr>
          <w:rStyle w:val="DefaultParagraphFont"/>
          <w:b w:val="0"/>
        </w:rPr>
      </w:sdtEndPr>
      <w:sdtContent>
        <w:r w:rsidR="001E584B" w:rsidRPr="00CC3749">
          <w:rPr>
            <w:rStyle w:val="PageNumber"/>
            <w:lang w:bidi="fr-FR"/>
          </w:rPr>
          <w:fldChar w:fldCharType="begin"/>
        </w:r>
        <w:r w:rsidR="001E584B" w:rsidRPr="00CC3749">
          <w:rPr>
            <w:rStyle w:val="PageNumber"/>
            <w:lang w:bidi="fr-FR"/>
          </w:rPr>
          <w:instrText xml:space="preserve"> PAGE   \* MERGEFORMAT </w:instrText>
        </w:r>
        <w:r w:rsidR="001E584B" w:rsidRPr="00CC3749">
          <w:rPr>
            <w:rStyle w:val="PageNumber"/>
            <w:lang w:bidi="fr-FR"/>
          </w:rPr>
          <w:fldChar w:fldCharType="separate"/>
        </w:r>
        <w:r w:rsidR="001E584B">
          <w:rPr>
            <w:rStyle w:val="PageNumber"/>
            <w:noProof/>
            <w:lang w:bidi="fr-FR"/>
          </w:rPr>
          <w:t>12</w:t>
        </w:r>
        <w:r w:rsidR="001E584B" w:rsidRPr="00CC3749">
          <w:rPr>
            <w:rStyle w:val="PageNumber"/>
            <w:noProof/>
            <w:lang w:bidi="fr-FR"/>
          </w:rPr>
          <w:fldChar w:fldCharType="end"/>
        </w:r>
      </w:sdtContent>
    </w:sdt>
    <w:r w:rsidR="001E584B">
      <w:rPr>
        <w:lang w:bidi="fr-FR"/>
      </w:rPr>
      <w:t xml:space="preserve"> | </w:t>
    </w:r>
    <w:sdt>
      <w:sdtPr>
        <w:rPr>
          <w:rStyle w:val="HeaderTitle"/>
        </w:rPr>
        <w:alias w:val="Cote/Chapter"/>
        <w:tag w:val="txtHeaderValue"/>
        <w:id w:val="-308635562"/>
        <w:lock w:val="sdtLocked"/>
      </w:sdtPr>
      <w:sdtEndPr>
        <w:rPr>
          <w:rStyle w:val="DefaultParagraphFont"/>
          <w:caps w:val="0"/>
          <w:sz w:val="22"/>
        </w:rPr>
      </w:sdtEndPr>
      <w:sdtContent>
        <w:r w:rsidR="001E584B">
          <w:rPr>
            <w:rStyle w:val="HeaderTitle"/>
            <w:lang w:bidi="fr-FR"/>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F2DF" w14:textId="41386D4D" w:rsidR="001E584B" w:rsidRDefault="00297AF9" w:rsidP="004E100F">
    <w:pPr>
      <w:pStyle w:val="Header"/>
      <w:jc w:val="right"/>
    </w:pPr>
    <w:sdt>
      <w:sdtPr>
        <w:rPr>
          <w:rStyle w:val="HeaderTitle"/>
        </w:rPr>
        <w:alias w:val="Cote/Chapter"/>
        <w:tag w:val="txtHeaderValue"/>
        <w:id w:val="-244348000"/>
        <w:lock w:val="sdtLocked"/>
      </w:sdtPr>
      <w:sdtEndPr>
        <w:rPr>
          <w:rStyle w:val="DefaultParagraphFont"/>
          <w:caps w:val="0"/>
          <w:sz w:val="22"/>
        </w:rPr>
      </w:sdtEndPr>
      <w:sdtContent>
        <w:r w:rsidR="001E584B">
          <w:rPr>
            <w:rStyle w:val="HeaderTitle"/>
            <w:lang w:bidi="fr-FR"/>
          </w:rPr>
          <w:t xml:space="preserve"> </w:t>
        </w:r>
      </w:sdtContent>
    </w:sdt>
    <w:r w:rsidR="001E584B">
      <w:rPr>
        <w:rStyle w:val="PageNumber"/>
        <w:lang w:bidi="fr-FR"/>
      </w:rPr>
      <w:t xml:space="preserve"> |</w:t>
    </w:r>
    <w:sdt>
      <w:sdtPr>
        <w:rPr>
          <w:rStyle w:val="PageNumber"/>
        </w:rPr>
        <w:alias w:val="Page Number"/>
        <w:tag w:val="TxtPageNumber"/>
        <w:id w:val="1076251128"/>
        <w:lock w:val="sdtLocked"/>
      </w:sdtPr>
      <w:sdtEndPr>
        <w:rPr>
          <w:rStyle w:val="DefaultParagraphFont"/>
          <w:b w:val="0"/>
        </w:rPr>
      </w:sdtEndPr>
      <w:sdtContent>
        <w:r w:rsidR="001E584B" w:rsidRPr="00CC3749">
          <w:rPr>
            <w:rStyle w:val="PageNumber"/>
            <w:lang w:bidi="fr-FR"/>
          </w:rPr>
          <w:fldChar w:fldCharType="begin"/>
        </w:r>
        <w:r w:rsidR="001E584B" w:rsidRPr="00CC3749">
          <w:rPr>
            <w:rStyle w:val="PageNumber"/>
            <w:lang w:bidi="fr-FR"/>
          </w:rPr>
          <w:instrText xml:space="preserve"> PAGE   \* MERGEFORMAT </w:instrText>
        </w:r>
        <w:r w:rsidR="001E584B" w:rsidRPr="00CC3749">
          <w:rPr>
            <w:rStyle w:val="PageNumber"/>
            <w:lang w:bidi="fr-FR"/>
          </w:rPr>
          <w:fldChar w:fldCharType="separate"/>
        </w:r>
        <w:r w:rsidR="001E584B">
          <w:rPr>
            <w:rStyle w:val="PageNumber"/>
            <w:noProof/>
            <w:lang w:bidi="fr-FR"/>
          </w:rPr>
          <w:t>13</w:t>
        </w:r>
        <w:r w:rsidR="001E584B" w:rsidRPr="00CC3749">
          <w:rPr>
            <w:rStyle w:val="PageNumber"/>
            <w:noProof/>
            <w:lang w:bidi="fr-FR"/>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2D71" w14:textId="782645F2" w:rsidR="001E584B" w:rsidRPr="00D119D7" w:rsidRDefault="001E584B" w:rsidP="001628AE">
    <w:pPr>
      <w:pStyle w:val="Header"/>
      <w:rPr>
        <w:rFonts w:ascii="Tahoma" w:hAnsi="Tahoma" w:cs="Tahoma"/>
        <w:b/>
        <w:i/>
        <w:color w:val="0081BE"/>
      </w:rPr>
    </w:pPr>
    <w:r w:rsidRPr="000836D1">
      <w:rPr>
        <w:rFonts w:ascii="Open Sans" w:eastAsia="Open Sans" w:hAnsi="Open Sans" w:cs="Open Sans"/>
        <w:noProof/>
        <w:color w:val="0081BE"/>
        <w:sz w:val="20"/>
        <w:szCs w:val="20"/>
        <w:lang w:bidi="fr-FR"/>
      </w:rPr>
      <mc:AlternateContent>
        <mc:Choice Requires="wps">
          <w:drawing>
            <wp:anchor distT="0" distB="0" distL="114300" distR="114300" simplePos="0" relativeHeight="251659264" behindDoc="0" locked="0" layoutInCell="1" allowOverlap="1" wp14:anchorId="53D04149" wp14:editId="77656376">
              <wp:simplePos x="0" y="0"/>
              <wp:positionH relativeFrom="column">
                <wp:posOffset>-657225</wp:posOffset>
              </wp:positionH>
              <wp:positionV relativeFrom="paragraph">
                <wp:posOffset>-316230</wp:posOffset>
              </wp:positionV>
              <wp:extent cx="638175" cy="647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38175" cy="647700"/>
                      </a:xfrm>
                      <a:prstGeom prst="rect">
                        <a:avLst/>
                      </a:prstGeom>
                      <a:solidFill>
                        <a:schemeClr val="lt1"/>
                      </a:solidFill>
                      <a:ln w="6350">
                        <a:noFill/>
                      </a:ln>
                    </wps:spPr>
                    <wps:txbx>
                      <w:txbxContent>
                        <w:p w14:paraId="3A0FAA26" w14:textId="6F564A06" w:rsidR="001E584B" w:rsidRDefault="001E584B" w:rsidP="001628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D04149" id="_x0000_t202" coordsize="21600,21600" o:spt="202" path="m,l,21600r21600,l21600,xe">
              <v:stroke joinstyle="miter"/>
              <v:path gradientshapeok="t" o:connecttype="rect"/>
            </v:shapetype>
            <v:shape id="Text Box 1" o:spid="_x0000_s1027" type="#_x0000_t202" style="position:absolute;left:0;text-align:left;margin-left:-51.75pt;margin-top:-24.9pt;width:50.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" fillcolor="white [3201]" stroked="f" strokeweight=".5pt">
              <v:textbox>
                <w:txbxContent>
                  <w:p w14:paraId="3A0FAA26" w14:textId="6F564A06" w:rsidR="001E584B" w:rsidRDefault="001E584B" w:rsidP="001628AE"/>
                </w:txbxContent>
              </v:textbox>
            </v:shape>
          </w:pict>
        </mc:Fallback>
      </mc:AlternateContent>
    </w:r>
    <w:r w:rsidRPr="000836D1">
      <w:rPr>
        <w:rFonts w:ascii="Open Sans" w:eastAsia="Open Sans" w:hAnsi="Open Sans" w:cs="Open Sans"/>
        <w:color w:val="0081BE"/>
        <w:sz w:val="20"/>
        <w:szCs w:val="20"/>
        <w:lang w:bidi="fr-FR"/>
      </w:rPr>
      <w:t>Internationale de l’Éducation</w:t>
    </w:r>
    <w:r>
      <w:rPr>
        <w:rFonts w:ascii="Open Sans" w:eastAsia="Open Sans" w:hAnsi="Open Sans" w:cs="Open Sans"/>
        <w:sz w:val="21"/>
        <w:szCs w:val="21"/>
        <w:lang w:bidi="fr-FR"/>
      </w:rPr>
      <w:t xml:space="preserve">                                                                  </w:t>
    </w:r>
    <w:r w:rsidRPr="00D119D7">
      <w:rPr>
        <w:rFonts w:ascii="Open Sans" w:eastAsia="Open Sans" w:hAnsi="Open Sans" w:cs="Open Sans"/>
        <w:b/>
        <w:color w:val="C6C6C6"/>
        <w:lang w:bidi="fr-FR"/>
      </w:rPr>
      <w:t xml:space="preserve">EB </w:t>
    </w:r>
    <w:r w:rsidRPr="00D119D7">
      <w:rPr>
        <w:rFonts w:ascii="Open Sans" w:eastAsia="Open Sans" w:hAnsi="Open Sans" w:cs="Open Sans"/>
        <w:b/>
        <w:color w:val="0081BE"/>
        <w:sz w:val="26"/>
        <w:szCs w:val="26"/>
        <w:lang w:bidi="fr-FR"/>
      </w:rPr>
      <w:t>56-03.3</w:t>
    </w:r>
  </w:p>
  <w:p w14:paraId="457BCF55" w14:textId="77777777" w:rsidR="001E584B" w:rsidRDefault="001E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24CE6"/>
    <w:multiLevelType w:val="hybridMultilevel"/>
    <w:tmpl w:val="9BF6B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654C5"/>
    <w:multiLevelType w:val="hybridMultilevel"/>
    <w:tmpl w:val="2890AA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75F566E"/>
    <w:multiLevelType w:val="multilevel"/>
    <w:tmpl w:val="6B8C58D0"/>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e %7."/>
      <w:lvlJc w:val="left"/>
      <w:pPr>
        <w:ind w:left="0" w:firstLine="0"/>
      </w:pPr>
      <w:rPr>
        <w:rFonts w:asciiTheme="majorHAnsi" w:hAnsiTheme="majorHAnsi" w:hint="default"/>
      </w:rPr>
    </w:lvl>
    <w:lvl w:ilvl="7">
      <w:start w:val="1"/>
      <w:numFmt w:val="upperLetter"/>
      <w:lvlRestart w:val="6"/>
      <w:pStyle w:val="Heading8"/>
      <w:suff w:val="space"/>
      <w:lvlText w:val="Annexe %6.%8."/>
      <w:lvlJc w:val="left"/>
      <w:pPr>
        <w:ind w:left="0" w:firstLine="0"/>
      </w:pPr>
      <w:rPr>
        <w:rFonts w:asciiTheme="majorHAnsi" w:hAnsiTheme="majorHAnsi" w:hint="default"/>
      </w:rPr>
    </w:lvl>
    <w:lvl w:ilvl="8">
      <w:start w:val="1"/>
      <w:numFmt w:val="upperLetter"/>
      <w:lvlRestart w:val="1"/>
      <w:pStyle w:val="Heading9"/>
      <w:suff w:val="space"/>
      <w:lvlText w:val="Annexe %1.%9."/>
      <w:lvlJc w:val="left"/>
      <w:pPr>
        <w:ind w:left="0" w:firstLine="0"/>
      </w:pPr>
      <w:rPr>
        <w:rFonts w:asciiTheme="majorHAnsi" w:hAnsiTheme="majorHAnsi" w:hint="default"/>
      </w:rPr>
    </w:lvl>
  </w:abstractNum>
  <w:abstractNum w:abstractNumId="6" w15:restartNumberingAfterBreak="0">
    <w:nsid w:val="76FF7898"/>
    <w:multiLevelType w:val="multilevel"/>
    <w:tmpl w:val="78FA9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5"/>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hyphenationZone w:val="425"/>
  <w:characterSpacingControl w:val="doNotCompress"/>
  <w:hdrShapeDefaults>
    <o:shapedefaults v:ext="edit" spidmax="4097"/>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tInPropertywdPropertyAuthor" w:val="GEREKE Madeleine"/>
    <w:docVar w:name="OECDDocumentDocumentLanguage" w:val="English"/>
    <w:docVar w:name="OECDDocumentId" w:val="4EB84742A551ADDCB7F688A51B61A986"/>
    <w:docVar w:name="OECDDocumentOriginalLanguage" w:val="English"/>
    <w:docVar w:name="OECDDocumentValidationDate" w:val="01/04/2021 16:15:09"/>
    <w:docVar w:name="OECDDocumentValidationErrors" w:val="0"/>
    <w:docVar w:name="OECDDocumentValidationWarnings" w:val="3"/>
    <w:docVar w:name="OECDDocumentValidationWordCount" w:val="1315"/>
    <w:docVar w:name="OECDTemplateLocation" w:val="W:\Office2016\Workgroup Templates"/>
    <w:docVar w:name="OECDTemplateName" w:val="ONE Author 2019.dotx"/>
    <w:docVar w:name="OECDTemplateVersion" w:val="3.20"/>
  </w:docVars>
  <w:rsids>
    <w:rsidRoot w:val="00175CA8"/>
    <w:rsid w:val="00000027"/>
    <w:rsid w:val="00000901"/>
    <w:rsid w:val="000037D9"/>
    <w:rsid w:val="00004DAB"/>
    <w:rsid w:val="00004DB2"/>
    <w:rsid w:val="000054EC"/>
    <w:rsid w:val="000064D6"/>
    <w:rsid w:val="000075E5"/>
    <w:rsid w:val="000115B5"/>
    <w:rsid w:val="00017230"/>
    <w:rsid w:val="00022689"/>
    <w:rsid w:val="00024178"/>
    <w:rsid w:val="00024ED0"/>
    <w:rsid w:val="00027D14"/>
    <w:rsid w:val="00030E8C"/>
    <w:rsid w:val="00032D3E"/>
    <w:rsid w:val="000338B2"/>
    <w:rsid w:val="00033E50"/>
    <w:rsid w:val="000356B8"/>
    <w:rsid w:val="00040622"/>
    <w:rsid w:val="00041E9E"/>
    <w:rsid w:val="0004402D"/>
    <w:rsid w:val="00044517"/>
    <w:rsid w:val="000454E8"/>
    <w:rsid w:val="000508AD"/>
    <w:rsid w:val="0005102C"/>
    <w:rsid w:val="00052575"/>
    <w:rsid w:val="00052588"/>
    <w:rsid w:val="0005272A"/>
    <w:rsid w:val="000542B8"/>
    <w:rsid w:val="00055124"/>
    <w:rsid w:val="00055536"/>
    <w:rsid w:val="00064C7A"/>
    <w:rsid w:val="00065F8B"/>
    <w:rsid w:val="00072803"/>
    <w:rsid w:val="000752FF"/>
    <w:rsid w:val="0007759B"/>
    <w:rsid w:val="00085197"/>
    <w:rsid w:val="00090C2D"/>
    <w:rsid w:val="00090E74"/>
    <w:rsid w:val="0009502D"/>
    <w:rsid w:val="000A5133"/>
    <w:rsid w:val="000A655C"/>
    <w:rsid w:val="000A69AD"/>
    <w:rsid w:val="000A7061"/>
    <w:rsid w:val="000A70F3"/>
    <w:rsid w:val="000B03E2"/>
    <w:rsid w:val="000B581F"/>
    <w:rsid w:val="000B74AE"/>
    <w:rsid w:val="000B7665"/>
    <w:rsid w:val="000B7B86"/>
    <w:rsid w:val="000C0FE0"/>
    <w:rsid w:val="000C1DF4"/>
    <w:rsid w:val="000C7F91"/>
    <w:rsid w:val="000D34F9"/>
    <w:rsid w:val="000D4550"/>
    <w:rsid w:val="000D5468"/>
    <w:rsid w:val="000D6415"/>
    <w:rsid w:val="000E2815"/>
    <w:rsid w:val="000E287A"/>
    <w:rsid w:val="000E2980"/>
    <w:rsid w:val="000E2A28"/>
    <w:rsid w:val="000E3363"/>
    <w:rsid w:val="000E5F57"/>
    <w:rsid w:val="000E614D"/>
    <w:rsid w:val="000E6DFC"/>
    <w:rsid w:val="000E7B92"/>
    <w:rsid w:val="000F040F"/>
    <w:rsid w:val="000F56E8"/>
    <w:rsid w:val="000F68AF"/>
    <w:rsid w:val="00101323"/>
    <w:rsid w:val="00103F5B"/>
    <w:rsid w:val="00111592"/>
    <w:rsid w:val="00111772"/>
    <w:rsid w:val="00111A19"/>
    <w:rsid w:val="0011701E"/>
    <w:rsid w:val="001177B9"/>
    <w:rsid w:val="00120851"/>
    <w:rsid w:val="00125C07"/>
    <w:rsid w:val="00130B1E"/>
    <w:rsid w:val="001313D9"/>
    <w:rsid w:val="00132E78"/>
    <w:rsid w:val="00134A95"/>
    <w:rsid w:val="00136117"/>
    <w:rsid w:val="00140AF5"/>
    <w:rsid w:val="0014180E"/>
    <w:rsid w:val="001418D7"/>
    <w:rsid w:val="00146063"/>
    <w:rsid w:val="0015065F"/>
    <w:rsid w:val="001514B8"/>
    <w:rsid w:val="00151AE5"/>
    <w:rsid w:val="00151E5E"/>
    <w:rsid w:val="001535B9"/>
    <w:rsid w:val="00156E4A"/>
    <w:rsid w:val="001577BA"/>
    <w:rsid w:val="00157A58"/>
    <w:rsid w:val="00160339"/>
    <w:rsid w:val="00160B10"/>
    <w:rsid w:val="00160D78"/>
    <w:rsid w:val="0016148A"/>
    <w:rsid w:val="001628AE"/>
    <w:rsid w:val="00170C55"/>
    <w:rsid w:val="00172A15"/>
    <w:rsid w:val="00173418"/>
    <w:rsid w:val="00175CA8"/>
    <w:rsid w:val="00180F64"/>
    <w:rsid w:val="00181841"/>
    <w:rsid w:val="00183469"/>
    <w:rsid w:val="00190848"/>
    <w:rsid w:val="00192BE9"/>
    <w:rsid w:val="001931F5"/>
    <w:rsid w:val="001933C5"/>
    <w:rsid w:val="0019406D"/>
    <w:rsid w:val="00196642"/>
    <w:rsid w:val="001A3C82"/>
    <w:rsid w:val="001B01A7"/>
    <w:rsid w:val="001B2144"/>
    <w:rsid w:val="001B2FAD"/>
    <w:rsid w:val="001B3D9B"/>
    <w:rsid w:val="001B4E01"/>
    <w:rsid w:val="001B7830"/>
    <w:rsid w:val="001C0B13"/>
    <w:rsid w:val="001C1F73"/>
    <w:rsid w:val="001C4E4F"/>
    <w:rsid w:val="001C617B"/>
    <w:rsid w:val="001D3952"/>
    <w:rsid w:val="001D76AC"/>
    <w:rsid w:val="001E1936"/>
    <w:rsid w:val="001E1F22"/>
    <w:rsid w:val="001E491E"/>
    <w:rsid w:val="001E584B"/>
    <w:rsid w:val="001E70B3"/>
    <w:rsid w:val="001E728B"/>
    <w:rsid w:val="001F11B3"/>
    <w:rsid w:val="001F18A8"/>
    <w:rsid w:val="001F1B7C"/>
    <w:rsid w:val="001F32D6"/>
    <w:rsid w:val="001F56A9"/>
    <w:rsid w:val="001F5913"/>
    <w:rsid w:val="001F63FD"/>
    <w:rsid w:val="001F68E8"/>
    <w:rsid w:val="001F6920"/>
    <w:rsid w:val="001F76B3"/>
    <w:rsid w:val="00201266"/>
    <w:rsid w:val="00201BE1"/>
    <w:rsid w:val="00202409"/>
    <w:rsid w:val="00203113"/>
    <w:rsid w:val="00203CC1"/>
    <w:rsid w:val="00204678"/>
    <w:rsid w:val="002048D6"/>
    <w:rsid w:val="00204C3D"/>
    <w:rsid w:val="002059EC"/>
    <w:rsid w:val="00210A5D"/>
    <w:rsid w:val="00212AEE"/>
    <w:rsid w:val="002131DC"/>
    <w:rsid w:val="00216C93"/>
    <w:rsid w:val="00224AC3"/>
    <w:rsid w:val="0022556E"/>
    <w:rsid w:val="00233AE9"/>
    <w:rsid w:val="0023636D"/>
    <w:rsid w:val="00237A1B"/>
    <w:rsid w:val="00237EA7"/>
    <w:rsid w:val="00250C1A"/>
    <w:rsid w:val="002524F9"/>
    <w:rsid w:val="00252E5F"/>
    <w:rsid w:val="0025481A"/>
    <w:rsid w:val="002565E1"/>
    <w:rsid w:val="002572B6"/>
    <w:rsid w:val="00263627"/>
    <w:rsid w:val="00264B61"/>
    <w:rsid w:val="00266244"/>
    <w:rsid w:val="00273851"/>
    <w:rsid w:val="00275477"/>
    <w:rsid w:val="002818F4"/>
    <w:rsid w:val="00287ED5"/>
    <w:rsid w:val="0029629B"/>
    <w:rsid w:val="00296CE1"/>
    <w:rsid w:val="00297AF9"/>
    <w:rsid w:val="002A2091"/>
    <w:rsid w:val="002A226D"/>
    <w:rsid w:val="002A2FA8"/>
    <w:rsid w:val="002A6B56"/>
    <w:rsid w:val="002A708C"/>
    <w:rsid w:val="002B353F"/>
    <w:rsid w:val="002C19A7"/>
    <w:rsid w:val="002C1DD6"/>
    <w:rsid w:val="002C279B"/>
    <w:rsid w:val="002C31E6"/>
    <w:rsid w:val="002C4F10"/>
    <w:rsid w:val="002C5EC4"/>
    <w:rsid w:val="002D0BF9"/>
    <w:rsid w:val="002D76D3"/>
    <w:rsid w:val="002D7FAA"/>
    <w:rsid w:val="002E0230"/>
    <w:rsid w:val="002E4822"/>
    <w:rsid w:val="002F3A06"/>
    <w:rsid w:val="002F4268"/>
    <w:rsid w:val="002F52DC"/>
    <w:rsid w:val="002F605B"/>
    <w:rsid w:val="00303173"/>
    <w:rsid w:val="00304851"/>
    <w:rsid w:val="00305C43"/>
    <w:rsid w:val="003062C2"/>
    <w:rsid w:val="00310601"/>
    <w:rsid w:val="00316318"/>
    <w:rsid w:val="00323108"/>
    <w:rsid w:val="00324483"/>
    <w:rsid w:val="00326CAE"/>
    <w:rsid w:val="003276FA"/>
    <w:rsid w:val="00330396"/>
    <w:rsid w:val="00333261"/>
    <w:rsid w:val="00337396"/>
    <w:rsid w:val="00341A33"/>
    <w:rsid w:val="0034327C"/>
    <w:rsid w:val="00343A4B"/>
    <w:rsid w:val="0034763F"/>
    <w:rsid w:val="00347AA2"/>
    <w:rsid w:val="00350662"/>
    <w:rsid w:val="00350963"/>
    <w:rsid w:val="00350CCC"/>
    <w:rsid w:val="00350E02"/>
    <w:rsid w:val="0035293B"/>
    <w:rsid w:val="00354071"/>
    <w:rsid w:val="003570CA"/>
    <w:rsid w:val="003578FC"/>
    <w:rsid w:val="00357B7D"/>
    <w:rsid w:val="003618E2"/>
    <w:rsid w:val="0036536F"/>
    <w:rsid w:val="00365AD4"/>
    <w:rsid w:val="00365BBA"/>
    <w:rsid w:val="00366BED"/>
    <w:rsid w:val="0037174E"/>
    <w:rsid w:val="00372918"/>
    <w:rsid w:val="003734A7"/>
    <w:rsid w:val="003745F6"/>
    <w:rsid w:val="00375A7C"/>
    <w:rsid w:val="00376570"/>
    <w:rsid w:val="00381AB2"/>
    <w:rsid w:val="00383EF4"/>
    <w:rsid w:val="0038628C"/>
    <w:rsid w:val="00386A39"/>
    <w:rsid w:val="00386EF8"/>
    <w:rsid w:val="00386F03"/>
    <w:rsid w:val="00390974"/>
    <w:rsid w:val="003957E7"/>
    <w:rsid w:val="003A0E4C"/>
    <w:rsid w:val="003A2A8E"/>
    <w:rsid w:val="003A3A69"/>
    <w:rsid w:val="003A6E33"/>
    <w:rsid w:val="003A72FB"/>
    <w:rsid w:val="003B057E"/>
    <w:rsid w:val="003B0FCE"/>
    <w:rsid w:val="003B2EF0"/>
    <w:rsid w:val="003B312C"/>
    <w:rsid w:val="003B42F8"/>
    <w:rsid w:val="003C087D"/>
    <w:rsid w:val="003C279E"/>
    <w:rsid w:val="003C4738"/>
    <w:rsid w:val="003C6E42"/>
    <w:rsid w:val="003C79D8"/>
    <w:rsid w:val="003D0071"/>
    <w:rsid w:val="003D0145"/>
    <w:rsid w:val="003D05E0"/>
    <w:rsid w:val="003D0D81"/>
    <w:rsid w:val="003D283F"/>
    <w:rsid w:val="003D7627"/>
    <w:rsid w:val="003E0362"/>
    <w:rsid w:val="003E2E5C"/>
    <w:rsid w:val="003E5BE5"/>
    <w:rsid w:val="003E6393"/>
    <w:rsid w:val="003E7235"/>
    <w:rsid w:val="003F3341"/>
    <w:rsid w:val="003F3E9F"/>
    <w:rsid w:val="003F4BE4"/>
    <w:rsid w:val="003F55D7"/>
    <w:rsid w:val="0040160D"/>
    <w:rsid w:val="004036CB"/>
    <w:rsid w:val="00403734"/>
    <w:rsid w:val="00403A1F"/>
    <w:rsid w:val="00404A52"/>
    <w:rsid w:val="00407712"/>
    <w:rsid w:val="004120ED"/>
    <w:rsid w:val="004144B4"/>
    <w:rsid w:val="004173D7"/>
    <w:rsid w:val="004201BF"/>
    <w:rsid w:val="004204DA"/>
    <w:rsid w:val="00421703"/>
    <w:rsid w:val="0042172D"/>
    <w:rsid w:val="00422C21"/>
    <w:rsid w:val="004230BA"/>
    <w:rsid w:val="004234CE"/>
    <w:rsid w:val="004243B4"/>
    <w:rsid w:val="004259A6"/>
    <w:rsid w:val="0043017C"/>
    <w:rsid w:val="004348F1"/>
    <w:rsid w:val="00440103"/>
    <w:rsid w:val="00440FA5"/>
    <w:rsid w:val="00441453"/>
    <w:rsid w:val="00441C18"/>
    <w:rsid w:val="00444C08"/>
    <w:rsid w:val="00450DFC"/>
    <w:rsid w:val="004529B7"/>
    <w:rsid w:val="00452DA0"/>
    <w:rsid w:val="00453C10"/>
    <w:rsid w:val="004541A4"/>
    <w:rsid w:val="004553EE"/>
    <w:rsid w:val="00456E03"/>
    <w:rsid w:val="00460635"/>
    <w:rsid w:val="00461C3F"/>
    <w:rsid w:val="00461D45"/>
    <w:rsid w:val="0046201C"/>
    <w:rsid w:val="004622CF"/>
    <w:rsid w:val="00462721"/>
    <w:rsid w:val="00464ED3"/>
    <w:rsid w:val="00465A6E"/>
    <w:rsid w:val="004661B2"/>
    <w:rsid w:val="0046745C"/>
    <w:rsid w:val="004715D2"/>
    <w:rsid w:val="00472145"/>
    <w:rsid w:val="00480243"/>
    <w:rsid w:val="004847A1"/>
    <w:rsid w:val="004965D1"/>
    <w:rsid w:val="004A00A8"/>
    <w:rsid w:val="004A1019"/>
    <w:rsid w:val="004A117A"/>
    <w:rsid w:val="004A1A3F"/>
    <w:rsid w:val="004A1A7B"/>
    <w:rsid w:val="004A57F2"/>
    <w:rsid w:val="004A6ED1"/>
    <w:rsid w:val="004A6F9B"/>
    <w:rsid w:val="004B163D"/>
    <w:rsid w:val="004B2CCD"/>
    <w:rsid w:val="004B44E3"/>
    <w:rsid w:val="004B7B10"/>
    <w:rsid w:val="004C102F"/>
    <w:rsid w:val="004D0C4D"/>
    <w:rsid w:val="004E100F"/>
    <w:rsid w:val="004E4993"/>
    <w:rsid w:val="004F17F6"/>
    <w:rsid w:val="004F1D9C"/>
    <w:rsid w:val="004F49A3"/>
    <w:rsid w:val="004F6288"/>
    <w:rsid w:val="004F644E"/>
    <w:rsid w:val="004F6BF2"/>
    <w:rsid w:val="004F6CB7"/>
    <w:rsid w:val="005009B9"/>
    <w:rsid w:val="005011D9"/>
    <w:rsid w:val="00502163"/>
    <w:rsid w:val="00502342"/>
    <w:rsid w:val="005059C6"/>
    <w:rsid w:val="00510E93"/>
    <w:rsid w:val="00511263"/>
    <w:rsid w:val="0051235C"/>
    <w:rsid w:val="00515E96"/>
    <w:rsid w:val="00523806"/>
    <w:rsid w:val="00524097"/>
    <w:rsid w:val="00524708"/>
    <w:rsid w:val="00524825"/>
    <w:rsid w:val="005260BF"/>
    <w:rsid w:val="0052749E"/>
    <w:rsid w:val="005321DE"/>
    <w:rsid w:val="005329E7"/>
    <w:rsid w:val="005360A8"/>
    <w:rsid w:val="005361EC"/>
    <w:rsid w:val="00536F86"/>
    <w:rsid w:val="00542B7C"/>
    <w:rsid w:val="00543135"/>
    <w:rsid w:val="005448AA"/>
    <w:rsid w:val="00547330"/>
    <w:rsid w:val="005505C0"/>
    <w:rsid w:val="005527A6"/>
    <w:rsid w:val="00553A77"/>
    <w:rsid w:val="0056606B"/>
    <w:rsid w:val="00567146"/>
    <w:rsid w:val="00571FE5"/>
    <w:rsid w:val="00575855"/>
    <w:rsid w:val="00576984"/>
    <w:rsid w:val="005822EE"/>
    <w:rsid w:val="00582D40"/>
    <w:rsid w:val="00593D13"/>
    <w:rsid w:val="005959BC"/>
    <w:rsid w:val="005A0A55"/>
    <w:rsid w:val="005A12DE"/>
    <w:rsid w:val="005A3D39"/>
    <w:rsid w:val="005A41B4"/>
    <w:rsid w:val="005A4A42"/>
    <w:rsid w:val="005A6B81"/>
    <w:rsid w:val="005B4798"/>
    <w:rsid w:val="005B510A"/>
    <w:rsid w:val="005B6C0C"/>
    <w:rsid w:val="005B734D"/>
    <w:rsid w:val="005B7CA2"/>
    <w:rsid w:val="005C3FCB"/>
    <w:rsid w:val="005D25FC"/>
    <w:rsid w:val="005D450E"/>
    <w:rsid w:val="005D459B"/>
    <w:rsid w:val="005D5F8F"/>
    <w:rsid w:val="005D6FE4"/>
    <w:rsid w:val="005D7D42"/>
    <w:rsid w:val="005E05F2"/>
    <w:rsid w:val="005E3782"/>
    <w:rsid w:val="005F246C"/>
    <w:rsid w:val="005F6D88"/>
    <w:rsid w:val="005F7907"/>
    <w:rsid w:val="00601083"/>
    <w:rsid w:val="00603681"/>
    <w:rsid w:val="0061216A"/>
    <w:rsid w:val="006128C8"/>
    <w:rsid w:val="00614BD8"/>
    <w:rsid w:val="006218BD"/>
    <w:rsid w:val="00622E0C"/>
    <w:rsid w:val="0062360C"/>
    <w:rsid w:val="00625626"/>
    <w:rsid w:val="006304BF"/>
    <w:rsid w:val="00630DB2"/>
    <w:rsid w:val="00635581"/>
    <w:rsid w:val="006358D3"/>
    <w:rsid w:val="00635AEE"/>
    <w:rsid w:val="00636F9D"/>
    <w:rsid w:val="00640529"/>
    <w:rsid w:val="00640A45"/>
    <w:rsid w:val="00643161"/>
    <w:rsid w:val="00644510"/>
    <w:rsid w:val="00644FCE"/>
    <w:rsid w:val="006457E5"/>
    <w:rsid w:val="0065762C"/>
    <w:rsid w:val="00661516"/>
    <w:rsid w:val="0066166D"/>
    <w:rsid w:val="00662E5B"/>
    <w:rsid w:val="00663C69"/>
    <w:rsid w:val="006673A3"/>
    <w:rsid w:val="0066797C"/>
    <w:rsid w:val="00670959"/>
    <w:rsid w:val="00672935"/>
    <w:rsid w:val="006749B7"/>
    <w:rsid w:val="00677FD9"/>
    <w:rsid w:val="00680162"/>
    <w:rsid w:val="006833BF"/>
    <w:rsid w:val="0068361F"/>
    <w:rsid w:val="0068362A"/>
    <w:rsid w:val="006841C9"/>
    <w:rsid w:val="00684AD9"/>
    <w:rsid w:val="00686A58"/>
    <w:rsid w:val="00690627"/>
    <w:rsid w:val="006924E4"/>
    <w:rsid w:val="006A1139"/>
    <w:rsid w:val="006A4547"/>
    <w:rsid w:val="006B0D73"/>
    <w:rsid w:val="006B104C"/>
    <w:rsid w:val="006B2291"/>
    <w:rsid w:val="006B38E2"/>
    <w:rsid w:val="006B4BAA"/>
    <w:rsid w:val="006B7345"/>
    <w:rsid w:val="006B7A61"/>
    <w:rsid w:val="006C1F61"/>
    <w:rsid w:val="006C35CC"/>
    <w:rsid w:val="006C7518"/>
    <w:rsid w:val="006C7B61"/>
    <w:rsid w:val="006D1250"/>
    <w:rsid w:val="006D1BA5"/>
    <w:rsid w:val="006D1C15"/>
    <w:rsid w:val="006D2B23"/>
    <w:rsid w:val="006E50BA"/>
    <w:rsid w:val="006E5AA5"/>
    <w:rsid w:val="006F21FD"/>
    <w:rsid w:val="0070033F"/>
    <w:rsid w:val="00710E8C"/>
    <w:rsid w:val="007112B4"/>
    <w:rsid w:val="00711F1B"/>
    <w:rsid w:val="0071297E"/>
    <w:rsid w:val="00712B15"/>
    <w:rsid w:val="007135D0"/>
    <w:rsid w:val="00714930"/>
    <w:rsid w:val="00722339"/>
    <w:rsid w:val="007226D8"/>
    <w:rsid w:val="00723284"/>
    <w:rsid w:val="00723757"/>
    <w:rsid w:val="00724820"/>
    <w:rsid w:val="007306FA"/>
    <w:rsid w:val="00731C07"/>
    <w:rsid w:val="007323ED"/>
    <w:rsid w:val="00732448"/>
    <w:rsid w:val="007331DA"/>
    <w:rsid w:val="00733ED1"/>
    <w:rsid w:val="00734135"/>
    <w:rsid w:val="00735C39"/>
    <w:rsid w:val="00736836"/>
    <w:rsid w:val="00741C6A"/>
    <w:rsid w:val="00742CC2"/>
    <w:rsid w:val="00743058"/>
    <w:rsid w:val="00743381"/>
    <w:rsid w:val="0074541C"/>
    <w:rsid w:val="00745E66"/>
    <w:rsid w:val="007479EB"/>
    <w:rsid w:val="007522DA"/>
    <w:rsid w:val="00753095"/>
    <w:rsid w:val="00753EEE"/>
    <w:rsid w:val="00754161"/>
    <w:rsid w:val="00754C15"/>
    <w:rsid w:val="00757D43"/>
    <w:rsid w:val="00757DCB"/>
    <w:rsid w:val="007622EA"/>
    <w:rsid w:val="00762B89"/>
    <w:rsid w:val="0076393A"/>
    <w:rsid w:val="00764FF0"/>
    <w:rsid w:val="007712AC"/>
    <w:rsid w:val="007728EB"/>
    <w:rsid w:val="007737AD"/>
    <w:rsid w:val="00776A95"/>
    <w:rsid w:val="007823FE"/>
    <w:rsid w:val="007836B4"/>
    <w:rsid w:val="00785A1E"/>
    <w:rsid w:val="00787528"/>
    <w:rsid w:val="00787E79"/>
    <w:rsid w:val="0079069C"/>
    <w:rsid w:val="00796525"/>
    <w:rsid w:val="00797961"/>
    <w:rsid w:val="007A18BE"/>
    <w:rsid w:val="007A2147"/>
    <w:rsid w:val="007A76BA"/>
    <w:rsid w:val="007B04B9"/>
    <w:rsid w:val="007B15B2"/>
    <w:rsid w:val="007B1A88"/>
    <w:rsid w:val="007B31F6"/>
    <w:rsid w:val="007B32B0"/>
    <w:rsid w:val="007B64FE"/>
    <w:rsid w:val="007C3714"/>
    <w:rsid w:val="007C5CAD"/>
    <w:rsid w:val="007C6866"/>
    <w:rsid w:val="007D09AE"/>
    <w:rsid w:val="007D21CF"/>
    <w:rsid w:val="007D7784"/>
    <w:rsid w:val="007E01BB"/>
    <w:rsid w:val="007E74F9"/>
    <w:rsid w:val="007F0DC0"/>
    <w:rsid w:val="007F0FCD"/>
    <w:rsid w:val="007F1740"/>
    <w:rsid w:val="007F41F9"/>
    <w:rsid w:val="00800DAC"/>
    <w:rsid w:val="0080284D"/>
    <w:rsid w:val="00802A87"/>
    <w:rsid w:val="00803F69"/>
    <w:rsid w:val="00804ACC"/>
    <w:rsid w:val="00804BDB"/>
    <w:rsid w:val="008127CA"/>
    <w:rsid w:val="008129C4"/>
    <w:rsid w:val="00814FD3"/>
    <w:rsid w:val="00816695"/>
    <w:rsid w:val="00820362"/>
    <w:rsid w:val="00821370"/>
    <w:rsid w:val="008230ED"/>
    <w:rsid w:val="00825BF9"/>
    <w:rsid w:val="00827FB5"/>
    <w:rsid w:val="00831826"/>
    <w:rsid w:val="00833FF5"/>
    <w:rsid w:val="00835614"/>
    <w:rsid w:val="00841948"/>
    <w:rsid w:val="008460B0"/>
    <w:rsid w:val="00846824"/>
    <w:rsid w:val="008471A0"/>
    <w:rsid w:val="0085029C"/>
    <w:rsid w:val="00850C1D"/>
    <w:rsid w:val="008542C2"/>
    <w:rsid w:val="008566CB"/>
    <w:rsid w:val="00857920"/>
    <w:rsid w:val="008660DA"/>
    <w:rsid w:val="0086742E"/>
    <w:rsid w:val="008728E0"/>
    <w:rsid w:val="008757C6"/>
    <w:rsid w:val="00880A74"/>
    <w:rsid w:val="00880E82"/>
    <w:rsid w:val="00882314"/>
    <w:rsid w:val="00883B27"/>
    <w:rsid w:val="008852D1"/>
    <w:rsid w:val="008853BE"/>
    <w:rsid w:val="00886BB5"/>
    <w:rsid w:val="00887CC2"/>
    <w:rsid w:val="00892241"/>
    <w:rsid w:val="00892479"/>
    <w:rsid w:val="008952ED"/>
    <w:rsid w:val="00895D73"/>
    <w:rsid w:val="008A51EB"/>
    <w:rsid w:val="008A6B82"/>
    <w:rsid w:val="008B4F9C"/>
    <w:rsid w:val="008B5212"/>
    <w:rsid w:val="008B560B"/>
    <w:rsid w:val="008B5BE4"/>
    <w:rsid w:val="008B5E8B"/>
    <w:rsid w:val="008B5F53"/>
    <w:rsid w:val="008B7236"/>
    <w:rsid w:val="008C38B5"/>
    <w:rsid w:val="008C5973"/>
    <w:rsid w:val="008C7702"/>
    <w:rsid w:val="008D4E6E"/>
    <w:rsid w:val="008E2C7C"/>
    <w:rsid w:val="008E2F6C"/>
    <w:rsid w:val="008E30AC"/>
    <w:rsid w:val="008E47CE"/>
    <w:rsid w:val="008F0F36"/>
    <w:rsid w:val="008F0F84"/>
    <w:rsid w:val="008F1437"/>
    <w:rsid w:val="008F632C"/>
    <w:rsid w:val="008F639B"/>
    <w:rsid w:val="008F66D2"/>
    <w:rsid w:val="008F6F27"/>
    <w:rsid w:val="008F7A96"/>
    <w:rsid w:val="00903C36"/>
    <w:rsid w:val="0090459C"/>
    <w:rsid w:val="00904F11"/>
    <w:rsid w:val="00907E59"/>
    <w:rsid w:val="00916BDE"/>
    <w:rsid w:val="0092327D"/>
    <w:rsid w:val="00924A03"/>
    <w:rsid w:val="009305C4"/>
    <w:rsid w:val="0093172B"/>
    <w:rsid w:val="009321E4"/>
    <w:rsid w:val="0093281A"/>
    <w:rsid w:val="00935246"/>
    <w:rsid w:val="00943271"/>
    <w:rsid w:val="00944DB2"/>
    <w:rsid w:val="009454A2"/>
    <w:rsid w:val="0094705D"/>
    <w:rsid w:val="00947767"/>
    <w:rsid w:val="009505B8"/>
    <w:rsid w:val="00951195"/>
    <w:rsid w:val="00961C60"/>
    <w:rsid w:val="0096394A"/>
    <w:rsid w:val="0096519D"/>
    <w:rsid w:val="00966A58"/>
    <w:rsid w:val="0096728F"/>
    <w:rsid w:val="00967E26"/>
    <w:rsid w:val="0097116C"/>
    <w:rsid w:val="009715C3"/>
    <w:rsid w:val="00971657"/>
    <w:rsid w:val="009751F3"/>
    <w:rsid w:val="009811DE"/>
    <w:rsid w:val="009820DA"/>
    <w:rsid w:val="00982C10"/>
    <w:rsid w:val="0098377F"/>
    <w:rsid w:val="0098666C"/>
    <w:rsid w:val="00990C5E"/>
    <w:rsid w:val="00990D36"/>
    <w:rsid w:val="00991A86"/>
    <w:rsid w:val="00991A9A"/>
    <w:rsid w:val="0099203B"/>
    <w:rsid w:val="00992AB5"/>
    <w:rsid w:val="00993D87"/>
    <w:rsid w:val="00994300"/>
    <w:rsid w:val="00996AEE"/>
    <w:rsid w:val="009A22AE"/>
    <w:rsid w:val="009A3363"/>
    <w:rsid w:val="009A4284"/>
    <w:rsid w:val="009A5F3B"/>
    <w:rsid w:val="009B36EC"/>
    <w:rsid w:val="009B3725"/>
    <w:rsid w:val="009B4679"/>
    <w:rsid w:val="009C0A42"/>
    <w:rsid w:val="009C532B"/>
    <w:rsid w:val="009C697D"/>
    <w:rsid w:val="009C7028"/>
    <w:rsid w:val="009C7D7A"/>
    <w:rsid w:val="009D0A30"/>
    <w:rsid w:val="009D0EC4"/>
    <w:rsid w:val="009D30C1"/>
    <w:rsid w:val="009D3959"/>
    <w:rsid w:val="009D3ECB"/>
    <w:rsid w:val="009D42D4"/>
    <w:rsid w:val="009D6989"/>
    <w:rsid w:val="009E05F9"/>
    <w:rsid w:val="009E1A99"/>
    <w:rsid w:val="009E3337"/>
    <w:rsid w:val="009E6455"/>
    <w:rsid w:val="009E7C04"/>
    <w:rsid w:val="009F1D74"/>
    <w:rsid w:val="009F30FC"/>
    <w:rsid w:val="009F3EF4"/>
    <w:rsid w:val="009F48C4"/>
    <w:rsid w:val="009F7287"/>
    <w:rsid w:val="00A01981"/>
    <w:rsid w:val="00A031C1"/>
    <w:rsid w:val="00A04880"/>
    <w:rsid w:val="00A05743"/>
    <w:rsid w:val="00A065D7"/>
    <w:rsid w:val="00A07625"/>
    <w:rsid w:val="00A101BC"/>
    <w:rsid w:val="00A104FC"/>
    <w:rsid w:val="00A1253E"/>
    <w:rsid w:val="00A12B7B"/>
    <w:rsid w:val="00A14DC4"/>
    <w:rsid w:val="00A15E78"/>
    <w:rsid w:val="00A1735A"/>
    <w:rsid w:val="00A20328"/>
    <w:rsid w:val="00A20838"/>
    <w:rsid w:val="00A20967"/>
    <w:rsid w:val="00A20B6A"/>
    <w:rsid w:val="00A21E27"/>
    <w:rsid w:val="00A22D7B"/>
    <w:rsid w:val="00A33D14"/>
    <w:rsid w:val="00A367EF"/>
    <w:rsid w:val="00A372B8"/>
    <w:rsid w:val="00A37D0A"/>
    <w:rsid w:val="00A40263"/>
    <w:rsid w:val="00A42716"/>
    <w:rsid w:val="00A44B46"/>
    <w:rsid w:val="00A475F0"/>
    <w:rsid w:val="00A506C1"/>
    <w:rsid w:val="00A5284A"/>
    <w:rsid w:val="00A53F54"/>
    <w:rsid w:val="00A5739E"/>
    <w:rsid w:val="00A61DC4"/>
    <w:rsid w:val="00A73BFF"/>
    <w:rsid w:val="00A74AFD"/>
    <w:rsid w:val="00A752EA"/>
    <w:rsid w:val="00A76883"/>
    <w:rsid w:val="00A8126B"/>
    <w:rsid w:val="00A81F07"/>
    <w:rsid w:val="00A839CB"/>
    <w:rsid w:val="00A92F3D"/>
    <w:rsid w:val="00A94192"/>
    <w:rsid w:val="00A942FE"/>
    <w:rsid w:val="00A94679"/>
    <w:rsid w:val="00A9559B"/>
    <w:rsid w:val="00A95B06"/>
    <w:rsid w:val="00A961E9"/>
    <w:rsid w:val="00AA0898"/>
    <w:rsid w:val="00AA487B"/>
    <w:rsid w:val="00AA591D"/>
    <w:rsid w:val="00AA6F70"/>
    <w:rsid w:val="00AA7673"/>
    <w:rsid w:val="00AB048B"/>
    <w:rsid w:val="00AB19E0"/>
    <w:rsid w:val="00AB34FF"/>
    <w:rsid w:val="00AB3B9B"/>
    <w:rsid w:val="00AB5A6F"/>
    <w:rsid w:val="00AC0636"/>
    <w:rsid w:val="00AC1AD7"/>
    <w:rsid w:val="00AC4AE2"/>
    <w:rsid w:val="00AC5E9B"/>
    <w:rsid w:val="00AC7518"/>
    <w:rsid w:val="00AC7B0C"/>
    <w:rsid w:val="00AD08D5"/>
    <w:rsid w:val="00AD146C"/>
    <w:rsid w:val="00AD15C4"/>
    <w:rsid w:val="00AD196B"/>
    <w:rsid w:val="00AD2CE7"/>
    <w:rsid w:val="00AD32A7"/>
    <w:rsid w:val="00AD373D"/>
    <w:rsid w:val="00AE2771"/>
    <w:rsid w:val="00AE48DF"/>
    <w:rsid w:val="00AE5FED"/>
    <w:rsid w:val="00AF0858"/>
    <w:rsid w:val="00AF0973"/>
    <w:rsid w:val="00AF232B"/>
    <w:rsid w:val="00AF31E1"/>
    <w:rsid w:val="00AF6AC9"/>
    <w:rsid w:val="00B004AE"/>
    <w:rsid w:val="00B0250B"/>
    <w:rsid w:val="00B03727"/>
    <w:rsid w:val="00B06D82"/>
    <w:rsid w:val="00B07307"/>
    <w:rsid w:val="00B10530"/>
    <w:rsid w:val="00B11E2C"/>
    <w:rsid w:val="00B12F75"/>
    <w:rsid w:val="00B16E93"/>
    <w:rsid w:val="00B2007B"/>
    <w:rsid w:val="00B30D82"/>
    <w:rsid w:val="00B34036"/>
    <w:rsid w:val="00B363EB"/>
    <w:rsid w:val="00B41E6B"/>
    <w:rsid w:val="00B437BF"/>
    <w:rsid w:val="00B46C8D"/>
    <w:rsid w:val="00B53F3F"/>
    <w:rsid w:val="00B548BB"/>
    <w:rsid w:val="00B66B2E"/>
    <w:rsid w:val="00B66B9E"/>
    <w:rsid w:val="00B67859"/>
    <w:rsid w:val="00B720F6"/>
    <w:rsid w:val="00B7351B"/>
    <w:rsid w:val="00B74965"/>
    <w:rsid w:val="00B8014D"/>
    <w:rsid w:val="00BA01C3"/>
    <w:rsid w:val="00BA16EB"/>
    <w:rsid w:val="00BA1ADD"/>
    <w:rsid w:val="00BA28FD"/>
    <w:rsid w:val="00BA2A2F"/>
    <w:rsid w:val="00BB3142"/>
    <w:rsid w:val="00BB44F9"/>
    <w:rsid w:val="00BC0200"/>
    <w:rsid w:val="00BC7BAC"/>
    <w:rsid w:val="00BD3450"/>
    <w:rsid w:val="00BD4F7D"/>
    <w:rsid w:val="00BD584D"/>
    <w:rsid w:val="00BE257E"/>
    <w:rsid w:val="00BE268B"/>
    <w:rsid w:val="00BF0768"/>
    <w:rsid w:val="00BF0B97"/>
    <w:rsid w:val="00BF1697"/>
    <w:rsid w:val="00BF2036"/>
    <w:rsid w:val="00BF415B"/>
    <w:rsid w:val="00BF53D8"/>
    <w:rsid w:val="00BF773A"/>
    <w:rsid w:val="00BF7FAD"/>
    <w:rsid w:val="00C0190E"/>
    <w:rsid w:val="00C03067"/>
    <w:rsid w:val="00C12650"/>
    <w:rsid w:val="00C21D84"/>
    <w:rsid w:val="00C24408"/>
    <w:rsid w:val="00C24704"/>
    <w:rsid w:val="00C25629"/>
    <w:rsid w:val="00C26DD0"/>
    <w:rsid w:val="00C3172F"/>
    <w:rsid w:val="00C3513F"/>
    <w:rsid w:val="00C40110"/>
    <w:rsid w:val="00C40FE6"/>
    <w:rsid w:val="00C417CD"/>
    <w:rsid w:val="00C43213"/>
    <w:rsid w:val="00C45E14"/>
    <w:rsid w:val="00C50768"/>
    <w:rsid w:val="00C51A44"/>
    <w:rsid w:val="00C5382F"/>
    <w:rsid w:val="00C549BA"/>
    <w:rsid w:val="00C567DB"/>
    <w:rsid w:val="00C611FD"/>
    <w:rsid w:val="00C6171E"/>
    <w:rsid w:val="00C62B1A"/>
    <w:rsid w:val="00C62DDC"/>
    <w:rsid w:val="00C641AC"/>
    <w:rsid w:val="00C710A7"/>
    <w:rsid w:val="00C71392"/>
    <w:rsid w:val="00C732F4"/>
    <w:rsid w:val="00C73765"/>
    <w:rsid w:val="00C74035"/>
    <w:rsid w:val="00C77599"/>
    <w:rsid w:val="00C82AC3"/>
    <w:rsid w:val="00C83CC5"/>
    <w:rsid w:val="00C870BF"/>
    <w:rsid w:val="00C901BE"/>
    <w:rsid w:val="00C926C2"/>
    <w:rsid w:val="00C9339D"/>
    <w:rsid w:val="00C974B3"/>
    <w:rsid w:val="00CA0396"/>
    <w:rsid w:val="00CA1A65"/>
    <w:rsid w:val="00CA1AB0"/>
    <w:rsid w:val="00CA2765"/>
    <w:rsid w:val="00CA27CC"/>
    <w:rsid w:val="00CB482B"/>
    <w:rsid w:val="00CB6B34"/>
    <w:rsid w:val="00CC09F0"/>
    <w:rsid w:val="00CC1A99"/>
    <w:rsid w:val="00CC2889"/>
    <w:rsid w:val="00CC3749"/>
    <w:rsid w:val="00CC41F7"/>
    <w:rsid w:val="00CD1FF6"/>
    <w:rsid w:val="00CD6029"/>
    <w:rsid w:val="00CD6A6F"/>
    <w:rsid w:val="00CE2207"/>
    <w:rsid w:val="00CE347A"/>
    <w:rsid w:val="00CE4798"/>
    <w:rsid w:val="00CE6E7E"/>
    <w:rsid w:val="00CF4424"/>
    <w:rsid w:val="00CF5BDC"/>
    <w:rsid w:val="00CF6762"/>
    <w:rsid w:val="00D02666"/>
    <w:rsid w:val="00D03CC5"/>
    <w:rsid w:val="00D047D4"/>
    <w:rsid w:val="00D048EC"/>
    <w:rsid w:val="00D05A24"/>
    <w:rsid w:val="00D06AA8"/>
    <w:rsid w:val="00D146C8"/>
    <w:rsid w:val="00D15234"/>
    <w:rsid w:val="00D203AE"/>
    <w:rsid w:val="00D20610"/>
    <w:rsid w:val="00D20C3E"/>
    <w:rsid w:val="00D216F4"/>
    <w:rsid w:val="00D21923"/>
    <w:rsid w:val="00D21B35"/>
    <w:rsid w:val="00D22567"/>
    <w:rsid w:val="00D2425B"/>
    <w:rsid w:val="00D2486A"/>
    <w:rsid w:val="00D271B0"/>
    <w:rsid w:val="00D27A8B"/>
    <w:rsid w:val="00D3275C"/>
    <w:rsid w:val="00D33BA3"/>
    <w:rsid w:val="00D3452E"/>
    <w:rsid w:val="00D34E37"/>
    <w:rsid w:val="00D42F5D"/>
    <w:rsid w:val="00D43B52"/>
    <w:rsid w:val="00D45551"/>
    <w:rsid w:val="00D52504"/>
    <w:rsid w:val="00D536B8"/>
    <w:rsid w:val="00D56027"/>
    <w:rsid w:val="00D5651D"/>
    <w:rsid w:val="00D63E37"/>
    <w:rsid w:val="00D7032A"/>
    <w:rsid w:val="00D73C3A"/>
    <w:rsid w:val="00D73F24"/>
    <w:rsid w:val="00D74EF6"/>
    <w:rsid w:val="00D8019E"/>
    <w:rsid w:val="00D81E01"/>
    <w:rsid w:val="00D84688"/>
    <w:rsid w:val="00D854FA"/>
    <w:rsid w:val="00D87AC4"/>
    <w:rsid w:val="00D90457"/>
    <w:rsid w:val="00D9097E"/>
    <w:rsid w:val="00D919C2"/>
    <w:rsid w:val="00D942EC"/>
    <w:rsid w:val="00D95933"/>
    <w:rsid w:val="00D96407"/>
    <w:rsid w:val="00D972AE"/>
    <w:rsid w:val="00DA12AF"/>
    <w:rsid w:val="00DA1E68"/>
    <w:rsid w:val="00DA70B9"/>
    <w:rsid w:val="00DA71C0"/>
    <w:rsid w:val="00DA79F8"/>
    <w:rsid w:val="00DB5E6D"/>
    <w:rsid w:val="00DB5EA7"/>
    <w:rsid w:val="00DB7564"/>
    <w:rsid w:val="00DC314E"/>
    <w:rsid w:val="00DC3A8E"/>
    <w:rsid w:val="00DC4A8C"/>
    <w:rsid w:val="00DC7C34"/>
    <w:rsid w:val="00DC7E9E"/>
    <w:rsid w:val="00DD518A"/>
    <w:rsid w:val="00DD7BAF"/>
    <w:rsid w:val="00DE3D1B"/>
    <w:rsid w:val="00DF1A57"/>
    <w:rsid w:val="00DF4291"/>
    <w:rsid w:val="00DF5798"/>
    <w:rsid w:val="00E00E25"/>
    <w:rsid w:val="00E018AE"/>
    <w:rsid w:val="00E02F2E"/>
    <w:rsid w:val="00E04674"/>
    <w:rsid w:val="00E046B6"/>
    <w:rsid w:val="00E06F62"/>
    <w:rsid w:val="00E1286D"/>
    <w:rsid w:val="00E14045"/>
    <w:rsid w:val="00E140DB"/>
    <w:rsid w:val="00E21B2F"/>
    <w:rsid w:val="00E23751"/>
    <w:rsid w:val="00E27ADA"/>
    <w:rsid w:val="00E35131"/>
    <w:rsid w:val="00E3705A"/>
    <w:rsid w:val="00E40657"/>
    <w:rsid w:val="00E4492C"/>
    <w:rsid w:val="00E45422"/>
    <w:rsid w:val="00E4631B"/>
    <w:rsid w:val="00E50814"/>
    <w:rsid w:val="00E5198D"/>
    <w:rsid w:val="00E53877"/>
    <w:rsid w:val="00E54608"/>
    <w:rsid w:val="00E554D1"/>
    <w:rsid w:val="00E62D2A"/>
    <w:rsid w:val="00E630F4"/>
    <w:rsid w:val="00E6592E"/>
    <w:rsid w:val="00E67FB6"/>
    <w:rsid w:val="00E70D13"/>
    <w:rsid w:val="00E7474A"/>
    <w:rsid w:val="00E768D1"/>
    <w:rsid w:val="00E81DDA"/>
    <w:rsid w:val="00E82D9D"/>
    <w:rsid w:val="00E83500"/>
    <w:rsid w:val="00E852E3"/>
    <w:rsid w:val="00E855C5"/>
    <w:rsid w:val="00E85855"/>
    <w:rsid w:val="00E8719C"/>
    <w:rsid w:val="00E90680"/>
    <w:rsid w:val="00E92216"/>
    <w:rsid w:val="00E922DD"/>
    <w:rsid w:val="00E926A1"/>
    <w:rsid w:val="00E951AC"/>
    <w:rsid w:val="00E96D85"/>
    <w:rsid w:val="00EA3B31"/>
    <w:rsid w:val="00EA4369"/>
    <w:rsid w:val="00EA6A82"/>
    <w:rsid w:val="00EA6BF8"/>
    <w:rsid w:val="00EA6CB7"/>
    <w:rsid w:val="00EB24D5"/>
    <w:rsid w:val="00EB6949"/>
    <w:rsid w:val="00EC1245"/>
    <w:rsid w:val="00EC20DB"/>
    <w:rsid w:val="00EC45EF"/>
    <w:rsid w:val="00EC61F0"/>
    <w:rsid w:val="00ED0110"/>
    <w:rsid w:val="00ED1FCF"/>
    <w:rsid w:val="00ED300D"/>
    <w:rsid w:val="00ED7AD3"/>
    <w:rsid w:val="00ED7CCF"/>
    <w:rsid w:val="00EE2CDC"/>
    <w:rsid w:val="00EE2E27"/>
    <w:rsid w:val="00EE5B62"/>
    <w:rsid w:val="00EE64E3"/>
    <w:rsid w:val="00EF2B9A"/>
    <w:rsid w:val="00EF332B"/>
    <w:rsid w:val="00EF4BAD"/>
    <w:rsid w:val="00EF6B7C"/>
    <w:rsid w:val="00F046D2"/>
    <w:rsid w:val="00F04DBA"/>
    <w:rsid w:val="00F05EDF"/>
    <w:rsid w:val="00F066DD"/>
    <w:rsid w:val="00F07D38"/>
    <w:rsid w:val="00F11FD4"/>
    <w:rsid w:val="00F15B0A"/>
    <w:rsid w:val="00F16C6F"/>
    <w:rsid w:val="00F2231D"/>
    <w:rsid w:val="00F24F1E"/>
    <w:rsid w:val="00F308C5"/>
    <w:rsid w:val="00F33C07"/>
    <w:rsid w:val="00F34274"/>
    <w:rsid w:val="00F346BA"/>
    <w:rsid w:val="00F3777F"/>
    <w:rsid w:val="00F40E07"/>
    <w:rsid w:val="00F419D6"/>
    <w:rsid w:val="00F4273D"/>
    <w:rsid w:val="00F4274B"/>
    <w:rsid w:val="00F443C5"/>
    <w:rsid w:val="00F47BCF"/>
    <w:rsid w:val="00F47D46"/>
    <w:rsid w:val="00F509A8"/>
    <w:rsid w:val="00F52CDA"/>
    <w:rsid w:val="00F5437A"/>
    <w:rsid w:val="00F6022E"/>
    <w:rsid w:val="00F6161C"/>
    <w:rsid w:val="00F61DC7"/>
    <w:rsid w:val="00F61F14"/>
    <w:rsid w:val="00F66528"/>
    <w:rsid w:val="00F71E0B"/>
    <w:rsid w:val="00F733B8"/>
    <w:rsid w:val="00F7680F"/>
    <w:rsid w:val="00F76FA7"/>
    <w:rsid w:val="00F82B3D"/>
    <w:rsid w:val="00F84F5A"/>
    <w:rsid w:val="00F85065"/>
    <w:rsid w:val="00F86193"/>
    <w:rsid w:val="00F879C6"/>
    <w:rsid w:val="00F9011F"/>
    <w:rsid w:val="00F90C20"/>
    <w:rsid w:val="00F92475"/>
    <w:rsid w:val="00F936EA"/>
    <w:rsid w:val="00F95E8C"/>
    <w:rsid w:val="00F9665B"/>
    <w:rsid w:val="00FA2BB9"/>
    <w:rsid w:val="00FA4D10"/>
    <w:rsid w:val="00FA52DC"/>
    <w:rsid w:val="00FA5BD0"/>
    <w:rsid w:val="00FA7C5C"/>
    <w:rsid w:val="00FA7E95"/>
    <w:rsid w:val="00FB0CE9"/>
    <w:rsid w:val="00FB2714"/>
    <w:rsid w:val="00FB5E31"/>
    <w:rsid w:val="00FB6DA4"/>
    <w:rsid w:val="00FB7562"/>
    <w:rsid w:val="00FC0A14"/>
    <w:rsid w:val="00FD3E54"/>
    <w:rsid w:val="00FD488C"/>
    <w:rsid w:val="00FD55BA"/>
    <w:rsid w:val="00FD659A"/>
    <w:rsid w:val="00FD6929"/>
    <w:rsid w:val="00FD6C4D"/>
    <w:rsid w:val="00FD76E9"/>
    <w:rsid w:val="00FD7BD8"/>
    <w:rsid w:val="00FE0CBD"/>
    <w:rsid w:val="00FE164A"/>
    <w:rsid w:val="00FE1D5D"/>
    <w:rsid w:val="00FF2512"/>
    <w:rsid w:val="00FF25F6"/>
    <w:rsid w:val="0C21741F"/>
    <w:rsid w:val="15965FBC"/>
    <w:rsid w:val="3BFB1DD4"/>
    <w:rsid w:val="574B55CB"/>
    <w:rsid w:val="57BD9FA5"/>
    <w:rsid w:val="66E12C8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AABB1"/>
  <w15:chartTrackingRefBased/>
  <w15:docId w15:val="{B92363D7-96C7-4526-AEA5-D0FBC137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3" w:qFormat="1"/>
    <w:lsdException w:name="heading 7" w:uiPriority="19" w:qFormat="1"/>
    <w:lsdException w:name="heading 8" w:uiPriority="9"/>
    <w:lsdException w:name="heading 9" w:uiPriority="2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4FF"/>
    <w:pPr>
      <w:widowControl w:val="0"/>
      <w:spacing w:after="0" w:line="240" w:lineRule="auto"/>
      <w:jc w:val="both"/>
    </w:pPr>
  </w:style>
  <w:style w:type="paragraph" w:styleId="Heading1">
    <w:name w:val="heading 1"/>
    <w:next w:val="Para"/>
    <w:link w:val="Heading1Char"/>
    <w:uiPriority w:val="4"/>
    <w:qFormat/>
    <w:rsid w:val="00175CA8"/>
    <w:pPr>
      <w:keepNext/>
      <w:keepLines/>
      <w:pageBreakBefore/>
      <w:framePr w:w="9072" w:wrap="notBeside" w:vAnchor="text" w:hAnchor="page" w:xAlign="center" w:y="1"/>
      <w:numPr>
        <w:numId w:val="5"/>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outlineLvl w:val="0"/>
    </w:pPr>
    <w:rPr>
      <w:rFonts w:asciiTheme="majorHAnsi" w:eastAsiaTheme="majorEastAsia" w:hAnsiTheme="majorHAnsi" w:cstheme="majorBidi"/>
      <w:b/>
      <w:color w:val="4E81BD" w:themeColor="accent5"/>
      <w:sz w:val="56"/>
      <w:szCs w:val="32"/>
    </w:rPr>
  </w:style>
  <w:style w:type="paragraph" w:styleId="Heading2">
    <w:name w:val="heading 2"/>
    <w:next w:val="Para"/>
    <w:link w:val="Heading2Char"/>
    <w:uiPriority w:val="7"/>
    <w:qFormat/>
    <w:rsid w:val="00175CA8"/>
    <w:pPr>
      <w:keepNext/>
      <w:numPr>
        <w:ilvl w:val="1"/>
        <w:numId w:val="5"/>
      </w:numPr>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
    <w:link w:val="Heading3Char"/>
    <w:uiPriority w:val="9"/>
    <w:qFormat/>
    <w:rsid w:val="00175CA8"/>
    <w:pPr>
      <w:keepNext/>
      <w:keepLines/>
      <w:numPr>
        <w:ilvl w:val="2"/>
        <w:numId w:val="5"/>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
    <w:link w:val="Heading4Char"/>
    <w:uiPriority w:val="9"/>
    <w:qFormat/>
    <w:rsid w:val="00175CA8"/>
    <w:pPr>
      <w:keepNext/>
      <w:keepLines/>
      <w:numPr>
        <w:ilvl w:val="3"/>
        <w:numId w:val="5"/>
      </w:numPr>
      <w:spacing w:before="240" w:after="180" w:line="280" w:lineRule="exact"/>
      <w:outlineLvl w:val="3"/>
    </w:pPr>
    <w:rPr>
      <w:rFonts w:eastAsiaTheme="majorEastAsia" w:cstheme="majorBidi"/>
      <w:i/>
      <w:iCs/>
      <w:color w:val="3F3F3F" w:themeColor="text2"/>
    </w:rPr>
  </w:style>
  <w:style w:type="paragraph" w:styleId="Heading5">
    <w:name w:val="heading 5"/>
    <w:next w:val="Para"/>
    <w:link w:val="Heading5Char"/>
    <w:uiPriority w:val="9"/>
    <w:qFormat/>
    <w:rsid w:val="00175CA8"/>
    <w:pPr>
      <w:keepNext/>
      <w:keepLines/>
      <w:numPr>
        <w:ilvl w:val="4"/>
        <w:numId w:val="5"/>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175CA8"/>
    <w:pPr>
      <w:keepNext/>
      <w:pageBreakBefore/>
      <w:framePr w:w="7938" w:h="13325" w:hRule="exact" w:wrap="notBeside" w:vAnchor="page" w:hAnchor="page" w:xAlign="center" w:yAlign="center"/>
      <w:numPr>
        <w:ilvl w:val="5"/>
        <w:numId w:val="5"/>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
    <w:link w:val="Heading7Char"/>
    <w:uiPriority w:val="19"/>
    <w:qFormat/>
    <w:rsid w:val="00175CA8"/>
    <w:pPr>
      <w:numPr>
        <w:ilvl w:val="6"/>
        <w:numId w:val="5"/>
      </w:numPr>
      <w:spacing w:after="1500" w:line="600" w:lineRule="exact"/>
      <w:outlineLvl w:val="6"/>
    </w:pPr>
  </w:style>
  <w:style w:type="paragraph" w:styleId="Heading8">
    <w:name w:val="heading 8"/>
    <w:aliases w:val="Part AnnX"/>
    <w:next w:val="Para"/>
    <w:link w:val="Heading8Char"/>
    <w:uiPriority w:val="9"/>
    <w:rsid w:val="00B06D82"/>
    <w:pPr>
      <w:keepNext/>
      <w:pageBreakBefore/>
      <w:numPr>
        <w:ilvl w:val="7"/>
        <w:numId w:val="5"/>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
    <w:link w:val="Heading9Char"/>
    <w:uiPriority w:val="20"/>
    <w:qFormat/>
    <w:rsid w:val="00175CA8"/>
    <w:pPr>
      <w:keepNext/>
      <w:pageBreakBefore/>
      <w:numPr>
        <w:ilvl w:val="8"/>
        <w:numId w:val="4"/>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link w:val="ParaChar"/>
    <w:uiPriority w:val="4"/>
    <w:qFormat/>
    <w:rsid w:val="00175CA8"/>
    <w:pPr>
      <w:spacing w:before="120" w:after="120" w:line="260" w:lineRule="atLeast"/>
      <w:jc w:val="both"/>
    </w:pPr>
    <w:rPr>
      <w:color w:val="000000" w:themeColor="text1"/>
      <w:sz w:val="20"/>
    </w:rPr>
  </w:style>
  <w:style w:type="paragraph" w:styleId="Title">
    <w:name w:val="Title"/>
    <w:next w:val="Para"/>
    <w:link w:val="TitleChar"/>
    <w:qFormat/>
    <w:rsid w:val="00175CA8"/>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efaultParagraphFont"/>
    <w:link w:val="Para"/>
    <w:uiPriority w:val="4"/>
    <w:rsid w:val="00175CA8"/>
    <w:rPr>
      <w:color w:val="000000" w:themeColor="text1"/>
      <w:sz w:val="20"/>
    </w:rPr>
  </w:style>
  <w:style w:type="character" w:customStyle="1" w:styleId="TitleChar">
    <w:name w:val="Title Char"/>
    <w:basedOn w:val="DefaultParagraphFont"/>
    <w:link w:val="Title"/>
    <w:rsid w:val="00175CA8"/>
    <w:rPr>
      <w:rFonts w:asciiTheme="majorHAnsi" w:eastAsiaTheme="majorEastAsia" w:hAnsiTheme="majorHAnsi" w:cstheme="majorBidi"/>
      <w:b/>
      <w:color w:val="4E81BD" w:themeColor="accent1"/>
      <w:sz w:val="72"/>
      <w:szCs w:val="56"/>
    </w:rPr>
  </w:style>
  <w:style w:type="character" w:customStyle="1" w:styleId="Heading1Char">
    <w:name w:val="Heading 1 Char"/>
    <w:basedOn w:val="DefaultParagraphFont"/>
    <w:link w:val="Heading1"/>
    <w:uiPriority w:val="4"/>
    <w:rsid w:val="00175CA8"/>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7"/>
    <w:rsid w:val="00175CA8"/>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175CA8"/>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175CA8"/>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175CA8"/>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75CA8"/>
    <w:rPr>
      <w:rFonts w:asciiTheme="majorHAnsi" w:eastAsiaTheme="majorEastAsia" w:hAnsiTheme="majorHAnsi" w:cstheme="majorBidi"/>
      <w:b/>
      <w:color w:val="4E81BD"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175CA8"/>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20"/>
    <w:rsid w:val="00175CA8"/>
    <w:rPr>
      <w:rFonts w:asciiTheme="majorHAnsi" w:eastAsiaTheme="majorEastAsia" w:hAnsiTheme="majorHAnsi" w:cstheme="majorBidi"/>
      <w:b/>
      <w:iCs/>
      <w:color w:val="4E81BD" w:themeColor="accent1"/>
      <w:sz w:val="48"/>
      <w:szCs w:val="21"/>
    </w:rPr>
  </w:style>
  <w:style w:type="paragraph" w:customStyle="1" w:styleId="Title2">
    <w:name w:val="Title 2"/>
    <w:next w:val="Para"/>
    <w:uiPriority w:val="1"/>
    <w:qFormat/>
    <w:rsid w:val="00175CA8"/>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
    <w:uiPriority w:val="2"/>
    <w:qFormat/>
    <w:rsid w:val="00175CA8"/>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175CA8"/>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0">
    <w:name w:val="Para #"/>
    <w:basedOn w:val="Normal"/>
    <w:uiPriority w:val="4"/>
    <w:qFormat/>
    <w:rsid w:val="00175CA8"/>
    <w:pPr>
      <w:widowControl/>
      <w:tabs>
        <w:tab w:val="num" w:pos="720"/>
      </w:tabs>
      <w:spacing w:before="120" w:after="120" w:line="260" w:lineRule="atLeast"/>
    </w:pPr>
    <w:rPr>
      <w:sz w:val="20"/>
    </w:rPr>
  </w:style>
  <w:style w:type="paragraph" w:customStyle="1" w:styleId="NumberedList">
    <w:name w:val="Numbered List"/>
    <w:uiPriority w:val="12"/>
    <w:qFormat/>
    <w:rsid w:val="00175CA8"/>
    <w:pPr>
      <w:spacing w:after="60" w:line="260" w:lineRule="exact"/>
      <w:ind w:left="680" w:hanging="340"/>
      <w:jc w:val="both"/>
    </w:pPr>
    <w:rPr>
      <w:color w:val="000000" w:themeColor="text1"/>
      <w:sz w:val="20"/>
    </w:rPr>
  </w:style>
  <w:style w:type="paragraph" w:customStyle="1" w:styleId="BulletedList">
    <w:name w:val="Bulleted List"/>
    <w:uiPriority w:val="12"/>
    <w:qFormat/>
    <w:rsid w:val="00175CA8"/>
    <w:pPr>
      <w:spacing w:after="60" w:line="260" w:lineRule="exact"/>
      <w:ind w:left="680" w:hanging="340"/>
      <w:jc w:val="both"/>
    </w:pPr>
    <w:rPr>
      <w:color w:val="000000" w:themeColor="text1"/>
      <w:sz w:val="20"/>
    </w:rPr>
  </w:style>
  <w:style w:type="paragraph" w:styleId="ListParagraph">
    <w:name w:val="List Paragraph"/>
    <w:basedOn w:val="Normal"/>
    <w:uiPriority w:val="34"/>
    <w:qFormat/>
    <w:rsid w:val="004230BA"/>
    <w:pPr>
      <w:ind w:left="720"/>
      <w:contextualSpacing/>
    </w:pPr>
  </w:style>
  <w:style w:type="paragraph" w:customStyle="1" w:styleId="CaptionSubtitle">
    <w:name w:val="Caption Subtitle"/>
    <w:next w:val="Para"/>
    <w:qFormat/>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
    <w:uiPriority w:val="11"/>
    <w:qFormat/>
    <w:rsid w:val="00175CA8"/>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175CA8"/>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15"/>
    <w:qFormat/>
    <w:rsid w:val="00175CA8"/>
    <w:pPr>
      <w:spacing w:before="10" w:after="20" w:line="200" w:lineRule="exact"/>
      <w:jc w:val="right"/>
    </w:pPr>
    <w:rPr>
      <w:rFonts w:ascii="Arial Narrow" w:hAnsi="Arial Narrow"/>
      <w:color w:val="000000" w:themeColor="text1"/>
      <w:sz w:val="17"/>
    </w:rPr>
  </w:style>
  <w:style w:type="paragraph" w:customStyle="1" w:styleId="TableRow">
    <w:name w:val="Table Row"/>
    <w:uiPriority w:val="15"/>
    <w:qFormat/>
    <w:rsid w:val="00175CA8"/>
    <w:pPr>
      <w:spacing w:before="10" w:after="20" w:line="200" w:lineRule="exact"/>
    </w:pPr>
    <w:rPr>
      <w:rFonts w:ascii="Arial Narrow" w:hAnsi="Arial Narrow"/>
      <w:color w:val="000000" w:themeColor="text1"/>
      <w:sz w:val="17"/>
    </w:rPr>
  </w:style>
  <w:style w:type="paragraph" w:customStyle="1" w:styleId="TableColumn">
    <w:name w:val="Table Column"/>
    <w:uiPriority w:val="15"/>
    <w:qFormat/>
    <w:rsid w:val="00175CA8"/>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175CA8"/>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18"/>
    <w:qFormat/>
    <w:rsid w:val="00175CA8"/>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175CA8"/>
    <w:rPr>
      <w:rFonts w:asciiTheme="majorHAnsi" w:hAnsiTheme="majorHAnsi"/>
      <w:i/>
      <w:iCs/>
      <w:color w:val="000000" w:themeColor="text1"/>
      <w:sz w:val="20"/>
    </w:rPr>
  </w:style>
  <w:style w:type="paragraph" w:customStyle="1" w:styleId="AnnexH2">
    <w:name w:val="Annex H2"/>
    <w:next w:val="Para"/>
    <w:uiPriority w:val="21"/>
    <w:qFormat/>
    <w:rsid w:val="00175CA8"/>
    <w:pPr>
      <w:keepNext/>
      <w:spacing w:before="360" w:after="240" w:line="320" w:lineRule="exact"/>
      <w:outlineLvl w:val="1"/>
    </w:pPr>
    <w:rPr>
      <w:b/>
      <w:color w:val="4E81BD" w:themeColor="accent1"/>
      <w:sz w:val="24"/>
    </w:rPr>
  </w:style>
  <w:style w:type="paragraph" w:customStyle="1" w:styleId="AnnexH3">
    <w:name w:val="Annex H3"/>
    <w:next w:val="Para"/>
    <w:uiPriority w:val="21"/>
    <w:qFormat/>
    <w:rsid w:val="00175CA8"/>
    <w:pPr>
      <w:keepNext/>
      <w:keepLines/>
      <w:spacing w:before="280" w:after="180" w:line="280" w:lineRule="exact"/>
      <w:outlineLvl w:val="2"/>
    </w:pPr>
    <w:rPr>
      <w:b/>
      <w:i/>
      <w:color w:val="3F3F3F" w:themeColor="text2"/>
    </w:rPr>
  </w:style>
  <w:style w:type="paragraph" w:customStyle="1" w:styleId="Disclaimer">
    <w:name w:val="Disclaimer"/>
    <w:basedOn w:val="Para"/>
    <w:rsid w:val="00326CAE"/>
    <w:pPr>
      <w:pBdr>
        <w:top w:val="single" w:sz="4" w:space="6" w:color="auto"/>
      </w:pBdr>
      <w:spacing w:before="0" w:line="220" w:lineRule="exact"/>
    </w:pPr>
    <w:rPr>
      <w:sz w:val="18"/>
    </w:rPr>
  </w:style>
  <w:style w:type="paragraph" w:customStyle="1" w:styleId="Action">
    <w:name w:val="Action"/>
    <w:basedOn w:val="Para"/>
    <w:next w:val="Heading2"/>
    <w:rsid w:val="00326CAE"/>
    <w:rPr>
      <w:u w:val="single"/>
    </w:rPr>
  </w:style>
  <w:style w:type="paragraph" w:customStyle="1" w:styleId="Annotation">
    <w:name w:val="Annotation"/>
    <w:basedOn w:val="Normal"/>
    <w:rsid w:val="004243B4"/>
    <w:pPr>
      <w:numPr>
        <w:numId w:val="1"/>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
    <w:rsid w:val="00E67FB6"/>
    <w:pPr>
      <w:keepNext/>
      <w:spacing w:before="240" w:after="120"/>
      <w:ind w:left="851"/>
    </w:pPr>
    <w:rPr>
      <w:b/>
      <w:i/>
    </w:rPr>
  </w:style>
  <w:style w:type="paragraph" w:customStyle="1" w:styleId="Conclusion">
    <w:name w:val="Conclusion"/>
    <w:basedOn w:val="Para"/>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uiPriority w:val="99"/>
    <w:semiHidden/>
    <w:unhideWhenUsed/>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0"/>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basedOn w:val="DefaultParagraphFont"/>
    <w:uiPriority w:val="99"/>
    <w:semiHidden/>
    <w:unhideWhenUsed/>
    <w:rsid w:val="00F443C5"/>
    <w:rPr>
      <w:rFonts w:asciiTheme="minorHAnsi" w:hAnsiTheme="minorHAnsi"/>
      <w:sz w:val="22"/>
      <w:vertAlign w:val="superscript"/>
    </w:rPr>
  </w:style>
  <w:style w:type="paragraph" w:customStyle="1" w:styleId="GroupHeading">
    <w:name w:val="Group Heading"/>
    <w:basedOn w:val="Normal"/>
    <w:next w:val="Para"/>
    <w:rsid w:val="00CC1A99"/>
    <w:pPr>
      <w:keepNext/>
      <w:numPr>
        <w:numId w:val="2"/>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rsid w:val="00CC1A99"/>
    <w:pPr>
      <w:tabs>
        <w:tab w:val="center" w:pos="4513"/>
        <w:tab w:val="right" w:pos="9026"/>
      </w:tabs>
    </w:pPr>
  </w:style>
  <w:style w:type="character" w:customStyle="1" w:styleId="HeaderChar">
    <w:name w:val="Header Char"/>
    <w:basedOn w:val="DefaultParagraphFont"/>
    <w:link w:val="Header"/>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
    <w:rsid w:val="003E0362"/>
    <w:pPr>
      <w:numPr>
        <w:numId w:val="3"/>
      </w:numPr>
      <w:tabs>
        <w:tab w:val="num" w:pos="360"/>
        <w:tab w:val="left" w:pos="425"/>
      </w:tabs>
      <w:spacing w:before="0" w:after="240"/>
      <w:ind w:left="2268" w:hanging="425"/>
    </w:pPr>
  </w:style>
  <w:style w:type="paragraph" w:customStyle="1" w:styleId="RefDocuments">
    <w:name w:val="Ref Documents"/>
    <w:basedOn w:val="Para"/>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
    <w:next w:val="Para"/>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
    <w:uiPriority w:val="11"/>
    <w:qFormat/>
    <w:rsid w:val="00175CA8"/>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
    <w:uiPriority w:val="6"/>
    <w:qFormat/>
    <w:rsid w:val="00175CA8"/>
    <w:pPr>
      <w:spacing w:before="180" w:after="240" w:line="260" w:lineRule="exact"/>
      <w:ind w:right="284"/>
      <w:jc w:val="right"/>
    </w:pPr>
    <w:rPr>
      <w:rFonts w:asciiTheme="majorHAnsi" w:hAnsiTheme="majorHAnsi"/>
    </w:rPr>
  </w:style>
  <w:style w:type="paragraph" w:customStyle="1" w:styleId="Heading2Indicator">
    <w:name w:val="Heading 2 (Indicator)"/>
    <w:next w:val="Para"/>
    <w:uiPriority w:val="8"/>
    <w:qFormat/>
    <w:rsid w:val="00175CA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
    <w:uiPriority w:val="14"/>
    <w:qFormat/>
    <w:rsid w:val="00175CA8"/>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
    <w:uiPriority w:val="9"/>
    <w:rsid w:val="00F47BCF"/>
    <w:pPr>
      <w:outlineLvl w:val="2"/>
    </w:pPr>
  </w:style>
  <w:style w:type="character" w:styleId="CommentReference">
    <w:name w:val="annotation reference"/>
    <w:basedOn w:val="DefaultParagraphFont"/>
    <w:uiPriority w:val="99"/>
    <w:semiHidden/>
    <w:unhideWhenUsed/>
    <w:rsid w:val="00175CA8"/>
    <w:rPr>
      <w:sz w:val="16"/>
      <w:szCs w:val="16"/>
    </w:rPr>
  </w:style>
  <w:style w:type="paragraph" w:styleId="CommentText">
    <w:name w:val="annotation text"/>
    <w:basedOn w:val="Normal"/>
    <w:link w:val="CommentTextChar"/>
    <w:uiPriority w:val="99"/>
    <w:semiHidden/>
    <w:unhideWhenUsed/>
    <w:rsid w:val="00175CA8"/>
    <w:rPr>
      <w:sz w:val="20"/>
      <w:szCs w:val="20"/>
    </w:rPr>
  </w:style>
  <w:style w:type="character" w:customStyle="1" w:styleId="CommentTextChar">
    <w:name w:val="Comment Text Char"/>
    <w:basedOn w:val="DefaultParagraphFont"/>
    <w:link w:val="CommentText"/>
    <w:uiPriority w:val="99"/>
    <w:semiHidden/>
    <w:rsid w:val="00175CA8"/>
    <w:rPr>
      <w:sz w:val="20"/>
      <w:szCs w:val="20"/>
    </w:rPr>
  </w:style>
  <w:style w:type="paragraph" w:styleId="CommentSubject">
    <w:name w:val="annotation subject"/>
    <w:basedOn w:val="CommentText"/>
    <w:next w:val="CommentText"/>
    <w:link w:val="CommentSubjectChar"/>
    <w:uiPriority w:val="99"/>
    <w:semiHidden/>
    <w:unhideWhenUsed/>
    <w:rsid w:val="00175CA8"/>
    <w:rPr>
      <w:b/>
      <w:bCs/>
    </w:rPr>
  </w:style>
  <w:style w:type="character" w:customStyle="1" w:styleId="CommentSubjectChar">
    <w:name w:val="Comment Subject Char"/>
    <w:basedOn w:val="CommentTextChar"/>
    <w:link w:val="CommentSubject"/>
    <w:uiPriority w:val="99"/>
    <w:semiHidden/>
    <w:rsid w:val="00175CA8"/>
    <w:rPr>
      <w:b/>
      <w:bCs/>
      <w:sz w:val="20"/>
      <w:szCs w:val="20"/>
    </w:rPr>
  </w:style>
  <w:style w:type="paragraph" w:styleId="BalloonText">
    <w:name w:val="Balloon Text"/>
    <w:basedOn w:val="Normal"/>
    <w:link w:val="BalloonTextChar"/>
    <w:uiPriority w:val="99"/>
    <w:semiHidden/>
    <w:unhideWhenUsed/>
    <w:rsid w:val="00175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CA8"/>
    <w:rPr>
      <w:rFonts w:ascii="Segoe UI" w:hAnsi="Segoe UI" w:cs="Segoe UI"/>
      <w:sz w:val="18"/>
      <w:szCs w:val="18"/>
    </w:rPr>
  </w:style>
  <w:style w:type="paragraph" w:styleId="Revision">
    <w:name w:val="Revision"/>
    <w:hidden/>
    <w:uiPriority w:val="99"/>
    <w:semiHidden/>
    <w:rsid w:val="00880A74"/>
    <w:pPr>
      <w:spacing w:after="0" w:line="240" w:lineRule="auto"/>
    </w:pPr>
  </w:style>
  <w:style w:type="character" w:styleId="FollowedHyperlink">
    <w:name w:val="FollowedHyperlink"/>
    <w:basedOn w:val="DefaultParagraphFont"/>
    <w:uiPriority w:val="99"/>
    <w:semiHidden/>
    <w:unhideWhenUsed/>
    <w:rsid w:val="00AE2771"/>
    <w:rPr>
      <w:color w:val="800080" w:themeColor="followedHyperlink"/>
      <w:u w:val="single"/>
    </w:rPr>
  </w:style>
  <w:style w:type="character" w:customStyle="1" w:styleId="UnresolvedMention1">
    <w:name w:val="Unresolved Mention1"/>
    <w:basedOn w:val="DefaultParagraphFont"/>
    <w:uiPriority w:val="99"/>
    <w:semiHidden/>
    <w:unhideWhenUsed/>
    <w:rsid w:val="00BA2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939">
      <w:bodyDiv w:val="1"/>
      <w:marLeft w:val="0"/>
      <w:marRight w:val="0"/>
      <w:marTop w:val="0"/>
      <w:marBottom w:val="0"/>
      <w:divBdr>
        <w:top w:val="none" w:sz="0" w:space="0" w:color="auto"/>
        <w:left w:val="none" w:sz="0" w:space="0" w:color="auto"/>
        <w:bottom w:val="none" w:sz="0" w:space="0" w:color="auto"/>
        <w:right w:val="none" w:sz="0" w:space="0" w:color="auto"/>
      </w:divBdr>
      <w:divsChild>
        <w:div w:id="1661691614">
          <w:marLeft w:val="360"/>
          <w:marRight w:val="0"/>
          <w:marTop w:val="200"/>
          <w:marBottom w:val="0"/>
          <w:divBdr>
            <w:top w:val="none" w:sz="0" w:space="0" w:color="auto"/>
            <w:left w:val="none" w:sz="0" w:space="0" w:color="auto"/>
            <w:bottom w:val="none" w:sz="0" w:space="0" w:color="auto"/>
            <w:right w:val="none" w:sz="0" w:space="0" w:color="auto"/>
          </w:divBdr>
        </w:div>
      </w:divsChild>
    </w:div>
    <w:div w:id="234054463">
      <w:bodyDiv w:val="1"/>
      <w:marLeft w:val="0"/>
      <w:marRight w:val="0"/>
      <w:marTop w:val="0"/>
      <w:marBottom w:val="0"/>
      <w:divBdr>
        <w:top w:val="none" w:sz="0" w:space="0" w:color="auto"/>
        <w:left w:val="none" w:sz="0" w:space="0" w:color="auto"/>
        <w:bottom w:val="none" w:sz="0" w:space="0" w:color="auto"/>
        <w:right w:val="none" w:sz="0" w:space="0" w:color="auto"/>
      </w:divBdr>
      <w:divsChild>
        <w:div w:id="1524250992">
          <w:marLeft w:val="547"/>
          <w:marRight w:val="0"/>
          <w:marTop w:val="0"/>
          <w:marBottom w:val="0"/>
          <w:divBdr>
            <w:top w:val="none" w:sz="0" w:space="0" w:color="auto"/>
            <w:left w:val="none" w:sz="0" w:space="0" w:color="auto"/>
            <w:bottom w:val="none" w:sz="0" w:space="0" w:color="auto"/>
            <w:right w:val="none" w:sz="0" w:space="0" w:color="auto"/>
          </w:divBdr>
        </w:div>
      </w:divsChild>
    </w:div>
    <w:div w:id="302581786">
      <w:bodyDiv w:val="1"/>
      <w:marLeft w:val="0"/>
      <w:marRight w:val="0"/>
      <w:marTop w:val="0"/>
      <w:marBottom w:val="0"/>
      <w:divBdr>
        <w:top w:val="none" w:sz="0" w:space="0" w:color="auto"/>
        <w:left w:val="none" w:sz="0" w:space="0" w:color="auto"/>
        <w:bottom w:val="none" w:sz="0" w:space="0" w:color="auto"/>
        <w:right w:val="none" w:sz="0" w:space="0" w:color="auto"/>
      </w:divBdr>
    </w:div>
    <w:div w:id="303127023">
      <w:bodyDiv w:val="1"/>
      <w:marLeft w:val="0"/>
      <w:marRight w:val="0"/>
      <w:marTop w:val="0"/>
      <w:marBottom w:val="0"/>
      <w:divBdr>
        <w:top w:val="none" w:sz="0" w:space="0" w:color="auto"/>
        <w:left w:val="none" w:sz="0" w:space="0" w:color="auto"/>
        <w:bottom w:val="none" w:sz="0" w:space="0" w:color="auto"/>
        <w:right w:val="none" w:sz="0" w:space="0" w:color="auto"/>
      </w:divBdr>
      <w:divsChild>
        <w:div w:id="177081748">
          <w:marLeft w:val="720"/>
          <w:marRight w:val="0"/>
          <w:marTop w:val="205"/>
          <w:marBottom w:val="0"/>
          <w:divBdr>
            <w:top w:val="none" w:sz="0" w:space="0" w:color="auto"/>
            <w:left w:val="none" w:sz="0" w:space="0" w:color="auto"/>
            <w:bottom w:val="none" w:sz="0" w:space="0" w:color="auto"/>
            <w:right w:val="none" w:sz="0" w:space="0" w:color="auto"/>
          </w:divBdr>
        </w:div>
        <w:div w:id="1731029908">
          <w:marLeft w:val="1555"/>
          <w:marRight w:val="0"/>
          <w:marTop w:val="179"/>
          <w:marBottom w:val="0"/>
          <w:divBdr>
            <w:top w:val="none" w:sz="0" w:space="0" w:color="auto"/>
            <w:left w:val="none" w:sz="0" w:space="0" w:color="auto"/>
            <w:bottom w:val="none" w:sz="0" w:space="0" w:color="auto"/>
            <w:right w:val="none" w:sz="0" w:space="0" w:color="auto"/>
          </w:divBdr>
        </w:div>
        <w:div w:id="2025863416">
          <w:marLeft w:val="1555"/>
          <w:marRight w:val="0"/>
          <w:marTop w:val="179"/>
          <w:marBottom w:val="0"/>
          <w:divBdr>
            <w:top w:val="none" w:sz="0" w:space="0" w:color="auto"/>
            <w:left w:val="none" w:sz="0" w:space="0" w:color="auto"/>
            <w:bottom w:val="none" w:sz="0" w:space="0" w:color="auto"/>
            <w:right w:val="none" w:sz="0" w:space="0" w:color="auto"/>
          </w:divBdr>
        </w:div>
      </w:divsChild>
    </w:div>
    <w:div w:id="375355549">
      <w:bodyDiv w:val="1"/>
      <w:marLeft w:val="0"/>
      <w:marRight w:val="0"/>
      <w:marTop w:val="0"/>
      <w:marBottom w:val="0"/>
      <w:divBdr>
        <w:top w:val="none" w:sz="0" w:space="0" w:color="auto"/>
        <w:left w:val="none" w:sz="0" w:space="0" w:color="auto"/>
        <w:bottom w:val="none" w:sz="0" w:space="0" w:color="auto"/>
        <w:right w:val="none" w:sz="0" w:space="0" w:color="auto"/>
      </w:divBdr>
      <w:divsChild>
        <w:div w:id="2073039664">
          <w:marLeft w:val="360"/>
          <w:marRight w:val="0"/>
          <w:marTop w:val="200"/>
          <w:marBottom w:val="0"/>
          <w:divBdr>
            <w:top w:val="none" w:sz="0" w:space="0" w:color="auto"/>
            <w:left w:val="none" w:sz="0" w:space="0" w:color="auto"/>
            <w:bottom w:val="none" w:sz="0" w:space="0" w:color="auto"/>
            <w:right w:val="none" w:sz="0" w:space="0" w:color="auto"/>
          </w:divBdr>
        </w:div>
      </w:divsChild>
    </w:div>
    <w:div w:id="432825902">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6">
          <w:marLeft w:val="360"/>
          <w:marRight w:val="0"/>
          <w:marTop w:val="200"/>
          <w:marBottom w:val="0"/>
          <w:divBdr>
            <w:top w:val="none" w:sz="0" w:space="0" w:color="auto"/>
            <w:left w:val="none" w:sz="0" w:space="0" w:color="auto"/>
            <w:bottom w:val="none" w:sz="0" w:space="0" w:color="auto"/>
            <w:right w:val="none" w:sz="0" w:space="0" w:color="auto"/>
          </w:divBdr>
        </w:div>
      </w:divsChild>
    </w:div>
    <w:div w:id="501235799">
      <w:bodyDiv w:val="1"/>
      <w:marLeft w:val="0"/>
      <w:marRight w:val="0"/>
      <w:marTop w:val="0"/>
      <w:marBottom w:val="0"/>
      <w:divBdr>
        <w:top w:val="none" w:sz="0" w:space="0" w:color="auto"/>
        <w:left w:val="none" w:sz="0" w:space="0" w:color="auto"/>
        <w:bottom w:val="none" w:sz="0" w:space="0" w:color="auto"/>
        <w:right w:val="none" w:sz="0" w:space="0" w:color="auto"/>
      </w:divBdr>
    </w:div>
    <w:div w:id="762532590">
      <w:bodyDiv w:val="1"/>
      <w:marLeft w:val="0"/>
      <w:marRight w:val="0"/>
      <w:marTop w:val="0"/>
      <w:marBottom w:val="0"/>
      <w:divBdr>
        <w:top w:val="none" w:sz="0" w:space="0" w:color="auto"/>
        <w:left w:val="none" w:sz="0" w:space="0" w:color="auto"/>
        <w:bottom w:val="none" w:sz="0" w:space="0" w:color="auto"/>
        <w:right w:val="none" w:sz="0" w:space="0" w:color="auto"/>
      </w:divBdr>
      <w:divsChild>
        <w:div w:id="1989439217">
          <w:marLeft w:val="360"/>
          <w:marRight w:val="0"/>
          <w:marTop w:val="200"/>
          <w:marBottom w:val="0"/>
          <w:divBdr>
            <w:top w:val="none" w:sz="0" w:space="0" w:color="auto"/>
            <w:left w:val="none" w:sz="0" w:space="0" w:color="auto"/>
            <w:bottom w:val="none" w:sz="0" w:space="0" w:color="auto"/>
            <w:right w:val="none" w:sz="0" w:space="0" w:color="auto"/>
          </w:divBdr>
        </w:div>
        <w:div w:id="1001660006">
          <w:marLeft w:val="1080"/>
          <w:marRight w:val="0"/>
          <w:marTop w:val="100"/>
          <w:marBottom w:val="0"/>
          <w:divBdr>
            <w:top w:val="none" w:sz="0" w:space="0" w:color="auto"/>
            <w:left w:val="none" w:sz="0" w:space="0" w:color="auto"/>
            <w:bottom w:val="none" w:sz="0" w:space="0" w:color="auto"/>
            <w:right w:val="none" w:sz="0" w:space="0" w:color="auto"/>
          </w:divBdr>
        </w:div>
        <w:div w:id="1856117659">
          <w:marLeft w:val="1080"/>
          <w:marRight w:val="0"/>
          <w:marTop w:val="100"/>
          <w:marBottom w:val="0"/>
          <w:divBdr>
            <w:top w:val="none" w:sz="0" w:space="0" w:color="auto"/>
            <w:left w:val="none" w:sz="0" w:space="0" w:color="auto"/>
            <w:bottom w:val="none" w:sz="0" w:space="0" w:color="auto"/>
            <w:right w:val="none" w:sz="0" w:space="0" w:color="auto"/>
          </w:divBdr>
        </w:div>
        <w:div w:id="1054085151">
          <w:marLeft w:val="1080"/>
          <w:marRight w:val="0"/>
          <w:marTop w:val="100"/>
          <w:marBottom w:val="0"/>
          <w:divBdr>
            <w:top w:val="none" w:sz="0" w:space="0" w:color="auto"/>
            <w:left w:val="none" w:sz="0" w:space="0" w:color="auto"/>
            <w:bottom w:val="none" w:sz="0" w:space="0" w:color="auto"/>
            <w:right w:val="none" w:sz="0" w:space="0" w:color="auto"/>
          </w:divBdr>
        </w:div>
        <w:div w:id="1923954353">
          <w:marLeft w:val="1080"/>
          <w:marRight w:val="0"/>
          <w:marTop w:val="100"/>
          <w:marBottom w:val="0"/>
          <w:divBdr>
            <w:top w:val="none" w:sz="0" w:space="0" w:color="auto"/>
            <w:left w:val="none" w:sz="0" w:space="0" w:color="auto"/>
            <w:bottom w:val="none" w:sz="0" w:space="0" w:color="auto"/>
            <w:right w:val="none" w:sz="0" w:space="0" w:color="auto"/>
          </w:divBdr>
        </w:div>
      </w:divsChild>
    </w:div>
    <w:div w:id="1142842326">
      <w:bodyDiv w:val="1"/>
      <w:marLeft w:val="0"/>
      <w:marRight w:val="0"/>
      <w:marTop w:val="0"/>
      <w:marBottom w:val="0"/>
      <w:divBdr>
        <w:top w:val="none" w:sz="0" w:space="0" w:color="auto"/>
        <w:left w:val="none" w:sz="0" w:space="0" w:color="auto"/>
        <w:bottom w:val="none" w:sz="0" w:space="0" w:color="auto"/>
        <w:right w:val="none" w:sz="0" w:space="0" w:color="auto"/>
      </w:divBdr>
      <w:divsChild>
        <w:div w:id="336228381">
          <w:marLeft w:val="547"/>
          <w:marRight w:val="0"/>
          <w:marTop w:val="0"/>
          <w:marBottom w:val="0"/>
          <w:divBdr>
            <w:top w:val="none" w:sz="0" w:space="0" w:color="auto"/>
            <w:left w:val="none" w:sz="0" w:space="0" w:color="auto"/>
            <w:bottom w:val="none" w:sz="0" w:space="0" w:color="auto"/>
            <w:right w:val="none" w:sz="0" w:space="0" w:color="auto"/>
          </w:divBdr>
        </w:div>
      </w:divsChild>
    </w:div>
    <w:div w:id="1398357505">
      <w:bodyDiv w:val="1"/>
      <w:marLeft w:val="0"/>
      <w:marRight w:val="0"/>
      <w:marTop w:val="0"/>
      <w:marBottom w:val="0"/>
      <w:divBdr>
        <w:top w:val="none" w:sz="0" w:space="0" w:color="auto"/>
        <w:left w:val="none" w:sz="0" w:space="0" w:color="auto"/>
        <w:bottom w:val="none" w:sz="0" w:space="0" w:color="auto"/>
        <w:right w:val="none" w:sz="0" w:space="0" w:color="auto"/>
      </w:divBdr>
      <w:divsChild>
        <w:div w:id="705108836">
          <w:marLeft w:val="1080"/>
          <w:marRight w:val="0"/>
          <w:marTop w:val="100"/>
          <w:marBottom w:val="0"/>
          <w:divBdr>
            <w:top w:val="none" w:sz="0" w:space="0" w:color="auto"/>
            <w:left w:val="none" w:sz="0" w:space="0" w:color="auto"/>
            <w:bottom w:val="none" w:sz="0" w:space="0" w:color="auto"/>
            <w:right w:val="none" w:sz="0" w:space="0" w:color="auto"/>
          </w:divBdr>
        </w:div>
      </w:divsChild>
    </w:div>
    <w:div w:id="1538666875">
      <w:bodyDiv w:val="1"/>
      <w:marLeft w:val="0"/>
      <w:marRight w:val="0"/>
      <w:marTop w:val="0"/>
      <w:marBottom w:val="0"/>
      <w:divBdr>
        <w:top w:val="none" w:sz="0" w:space="0" w:color="auto"/>
        <w:left w:val="none" w:sz="0" w:space="0" w:color="auto"/>
        <w:bottom w:val="none" w:sz="0" w:space="0" w:color="auto"/>
        <w:right w:val="none" w:sz="0" w:space="0" w:color="auto"/>
      </w:divBdr>
    </w:div>
    <w:div w:id="2028601967">
      <w:bodyDiv w:val="1"/>
      <w:marLeft w:val="0"/>
      <w:marRight w:val="0"/>
      <w:marTop w:val="0"/>
      <w:marBottom w:val="0"/>
      <w:divBdr>
        <w:top w:val="none" w:sz="0" w:space="0" w:color="auto"/>
        <w:left w:val="none" w:sz="0" w:space="0" w:color="auto"/>
        <w:bottom w:val="none" w:sz="0" w:space="0" w:color="auto"/>
        <w:right w:val="none" w:sz="0" w:space="0" w:color="auto"/>
      </w:divBdr>
      <w:divsChild>
        <w:div w:id="18558752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oecdedutoday.com/wp-content/uploads/2020/07/Japan-Tokkatsu.pdf" TargetMode="External"/><Relationship Id="rId26" Type="http://schemas.openxmlformats.org/officeDocument/2006/relationships/hyperlink" Target="https://oecdedutoday.com/wp-content/uploads/2020/06/India-Nagaland-Tele-Online-education-programme.pdf" TargetMode="External"/><Relationship Id="rId39" Type="http://schemas.openxmlformats.org/officeDocument/2006/relationships/hyperlink" Target="https://issuu.com/educationinternational/docs/2020_covid19_survey_report_eng_final" TargetMode="External"/><Relationship Id="rId21" Type="http://schemas.openxmlformats.org/officeDocument/2006/relationships/hyperlink" Target="https://www.education.gouv.fr/covid19-ouverture-des-ecoles-modalites-pratiques-et-protocole-sanitaire-305467" TargetMode="External"/><Relationship Id="rId34" Type="http://schemas.openxmlformats.org/officeDocument/2006/relationships/hyperlink" Target="https://www.thenational.academy/" TargetMode="External"/><Relationship Id="rId42" Type="http://schemas.openxmlformats.org/officeDocument/2006/relationships/hyperlink" Target="https://issuu.com/educationinternational/docs/2019_ei-unesco_framework" TargetMode="External"/><Relationship Id="rId47" Type="http://schemas.openxmlformats.org/officeDocument/2006/relationships/hyperlink" Target="https://neu.org.uk/national-cpd" TargetMode="External"/><Relationship Id="rId50" Type="http://schemas.openxmlformats.org/officeDocument/2006/relationships/hyperlink" Target="https://www.worldsofeducation.org/en/woe_homepage/woe_detail/17138/" TargetMode="External"/><Relationship Id="rId55"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ext.go.jp/en/content/20200904_mxt_kouhou01-000008961_1.pdf" TargetMode="External"/><Relationship Id="rId25" Type="http://schemas.openxmlformats.org/officeDocument/2006/relationships/hyperlink" Target="https://oecdedutoday.com/wp-content/uploads/2020/09/India-Learning-Will-Not-Stop.pdf" TargetMode="External"/><Relationship Id="rId33" Type="http://schemas.openxmlformats.org/officeDocument/2006/relationships/hyperlink" Target="https://oecdedutoday.com/wp-content/uploads/2020/11/Flemish-Community-Belgium-KlasCement.pdf" TargetMode="External"/><Relationship Id="rId38" Type="http://schemas.openxmlformats.org/officeDocument/2006/relationships/hyperlink" Target="https://nationaltutoring.org.uk/" TargetMode="External"/><Relationship Id="rId46" Type="http://schemas.openxmlformats.org/officeDocument/2006/relationships/hyperlink" Target="https://nationaleducationunion.foleon.com/neu-remote-learning-portal/neu-remote-education-hub/home/" TargetMode="External"/><Relationship Id="rId2" Type="http://schemas.openxmlformats.org/officeDocument/2006/relationships/customXml" Target="../customXml/item2.xml"/><Relationship Id="rId16" Type="http://schemas.openxmlformats.org/officeDocument/2006/relationships/hyperlink" Target="http://www.oecd.org/education/country-education-responses-coronavirus.htm" TargetMode="External"/><Relationship Id="rId20" Type="http://schemas.openxmlformats.org/officeDocument/2006/relationships/hyperlink" Target="https://oecdedutoday.com/wp-content/uploads/2020/05/France-DAN.pdf" TargetMode="External"/><Relationship Id="rId29" Type="http://schemas.openxmlformats.org/officeDocument/2006/relationships/hyperlink" Target="https://oecdedutoday.com/wp-content/uploads/2020/06/Latvia-Tava-Klase.pdf" TargetMode="External"/><Relationship Id="rId41" Type="http://schemas.openxmlformats.org/officeDocument/2006/relationships/hyperlink" Target="https://issuu.com/educationinternational/docs/2020_eiguide_equityaudit_covid19_en_fina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ecdedutoday.com/wp-content/uploads/2020/07/Mexico-Aprende-en-casa.pdf" TargetMode="External"/><Relationship Id="rId32" Type="http://schemas.openxmlformats.org/officeDocument/2006/relationships/hyperlink" Target="https://oecdedutoday.com/wp-content/uploads/2020/08/United-States-Ukraine-Virtual-Edcamps.pdf" TargetMode="External"/><Relationship Id="rId37" Type="http://schemas.openxmlformats.org/officeDocument/2006/relationships/hyperlink" Target="https://oecdedutoday.com/wp-content/uploads/2020/05/United-States-WideOpenSchool.pdf" TargetMode="External"/><Relationship Id="rId40" Type="http://schemas.openxmlformats.org/officeDocument/2006/relationships/hyperlink" Target="https://issuu.com/educationinternational/docs/2020_ei_forwardtoschool_en_final" TargetMode="External"/><Relationship Id="rId45" Type="http://schemas.openxmlformats.org/officeDocument/2006/relationships/hyperlink" Target="https://www.nea.org/resource-library/learning-beyond-covid-19-vision-thriving-public-education"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ecdedutoday.com/coronavirus/" TargetMode="External"/><Relationship Id="rId23" Type="http://schemas.openxmlformats.org/officeDocument/2006/relationships/hyperlink" Target="https://www.mofa.go.kr/eng/brd/m_22591/view.do?seq=35&amp;srchFr=&amp;srchTo=&amp;srchWord=&amp;srchTp=&amp;multi_itm_seq=0&amp;itm_seq_1=0&amp;itm_seq_2=0&amp;company_cd=&amp;company_nm=&amp;page=1&amp;titleNm=" TargetMode="External"/><Relationship Id="rId28" Type="http://schemas.openxmlformats.org/officeDocument/2006/relationships/hyperlink" Target="https://oecdedutoday.com/wp-content/uploads/2020/09/Peru-Aprendo-en-Casa.pdf" TargetMode="External"/><Relationship Id="rId36" Type="http://schemas.openxmlformats.org/officeDocument/2006/relationships/hyperlink" Target="https://oecdedutoday.com/wp-content/uploads/2020/08/Colombia-Mis-manos-te-ensenan.pdf" TargetMode="External"/><Relationship Id="rId49" Type="http://schemas.openxmlformats.org/officeDocument/2006/relationships/hyperlink" Target="https://www.barbaraprestonresearch.com.au/wp-content/uploads/2020-BPreston-Digital-inclusion-for-all-public-school-students"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oecdedutoday.com/wp-content/uploads/2020/09/France-Banks-of-educational-digital-resources.pdf" TargetMode="External"/><Relationship Id="rId31" Type="http://schemas.openxmlformats.org/officeDocument/2006/relationships/hyperlink" Target="https://oecdedutoday.com/wp-content/uploads/2020/08/United-States-Ukraine-Virtual-Edcamps.pdf" TargetMode="External"/><Relationship Id="rId44" Type="http://schemas.openxmlformats.org/officeDocument/2006/relationships/hyperlink" Target="tps://www.aft.org/sites/default/files/learning_beyond_covid_web.pdf"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oecdedutoday.com/wp-content/uploads/2020/05/Brazil-S%C3%A3o-Paulo-State-Department-of-Education.pdf" TargetMode="External"/><Relationship Id="rId27" Type="http://schemas.openxmlformats.org/officeDocument/2006/relationships/hyperlink" Target="https://oecdedutoday.com/wp-content/uploads/2020/09/Pakistan-Educational-TV.pdf" TargetMode="External"/><Relationship Id="rId30" Type="http://schemas.openxmlformats.org/officeDocument/2006/relationships/hyperlink" Target="https://oecdedutoday.com/wp-content/uploads/2020/05/Spain-Aprendo-en-casa.pdf" TargetMode="External"/><Relationship Id="rId35" Type="http://schemas.openxmlformats.org/officeDocument/2006/relationships/hyperlink" Target="https://oecdedutoday.com/wp-content/uploads/2020/05/Brazil-Educacao-Infantil-no-Maranhao.pdf" TargetMode="External"/><Relationship Id="rId43" Type="http://schemas.openxmlformats.org/officeDocument/2006/relationships/hyperlink" Target="https://issuu.com/educationinternational/docs/2020_ei_forwardtoschool_en_final" TargetMode="External"/><Relationship Id="rId48" Type="http://schemas.openxmlformats.org/officeDocument/2006/relationships/hyperlink" Target="https://www.nasuwt.org.uk/advice/health-safety/coronavirus-guidance/arrangements-for-remote-learning-support.html" TargetMode="External"/><Relationship Id="rId56"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2019.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ef-cotes xmlns:xsi="http://www.w3.org/2001/XMLSchema-instance" xmlns:xsd="http://www.w3.org/2001/XMLSchema" xmlns="http://www.oecd.org/oneauthor/2016/cotes" Version="2.5.11.0"/>
</file>

<file path=customXml/item3.xml><?xml version="1.0" encoding="utf-8"?>
<p:properties xmlns:p="http://schemas.microsoft.com/office/2006/metadata/properties" xmlns:xsi="http://www.w3.org/2001/XMLSchema-instance" xmlns:pc="http://schemas.microsoft.com/office/infopath/2007/PartnerControls">
  <documentManagement>
    <SharedWithUsers xmlns="89248253-1ae3-4508-9ac5-22671723da37">
      <UserInfo>
        <DisplayName>Duncan Smith</DisplayName>
        <AccountId>45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F7BFB08FB53844BFE3EB557BCCE78D" ma:contentTypeVersion="12" ma:contentTypeDescription="Create a new document." ma:contentTypeScope="" ma:versionID="f0c89e9570da79cf1edec23017cafe9d">
  <xsd:schema xmlns:xsd="http://www.w3.org/2001/XMLSchema" xmlns:xs="http://www.w3.org/2001/XMLSchema" xmlns:p="http://schemas.microsoft.com/office/2006/metadata/properties" xmlns:ns2="f1b18939-f153-494b-8e21-dbdbb52d46f8" xmlns:ns3="89248253-1ae3-4508-9ac5-22671723da37" targetNamespace="http://schemas.microsoft.com/office/2006/metadata/properties" ma:root="true" ma:fieldsID="35f06c982c19946f56823ac72bb5acd8" ns2:_="" ns3:_="">
    <xsd:import namespace="f1b18939-f153-494b-8e21-dbdbb52d46f8"/>
    <xsd:import namespace="89248253-1ae3-4508-9ac5-22671723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8939-f153-494b-8e21-dbdbb52d4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48253-1ae3-4508-9ac5-22671723da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oecd-en.xsl" StyleName="OECD English" Version="20180904"/>
</file>

<file path=customXml/itemProps1.xml><?xml version="1.0" encoding="utf-8"?>
<ds:datastoreItem xmlns:ds="http://schemas.openxmlformats.org/officeDocument/2006/customXml" ds:itemID="{4171CDCA-478A-4E38-8AED-E2E6CEE7ABEE}">
  <ds:schemaRefs>
    <ds:schemaRef ds:uri="http://schemas.microsoft.com/sharepoint/v3/contenttype/forms"/>
  </ds:schemaRefs>
</ds:datastoreItem>
</file>

<file path=customXml/itemProps2.xml><?xml version="1.0" encoding="utf-8"?>
<ds:datastoreItem xmlns:ds="http://schemas.openxmlformats.org/officeDocument/2006/customXml" ds:itemID="{0D7E610C-6959-4DAB-A2E9-4A843E6342D4}">
  <ds:schemaRefs>
    <ds:schemaRef ds:uri="http://www.w3.org/2001/XMLSchema"/>
    <ds:schemaRef ds:uri="http://www.oecd.org/oneauthor/2016/cotes"/>
  </ds:schemaRefs>
</ds:datastoreItem>
</file>

<file path=customXml/itemProps3.xml><?xml version="1.0" encoding="utf-8"?>
<ds:datastoreItem xmlns:ds="http://schemas.openxmlformats.org/officeDocument/2006/customXml" ds:itemID="{30F9AA4F-A523-479A-B6DF-8B4AC7DCFF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0fed16-f452-45e4-8c3a-ff67ab9180ad"/>
    <ds:schemaRef ds:uri="http://purl.org/dc/elements/1.1/"/>
    <ds:schemaRef ds:uri="http://schemas.microsoft.com/office/2006/metadata/properties"/>
    <ds:schemaRef ds:uri="c0ea5ca4-68d9-474a-86bb-79e5b6c05a5d"/>
    <ds:schemaRef ds:uri="http://www.w3.org/XML/1998/namespace"/>
    <ds:schemaRef ds:uri="http://purl.org/dc/dcmitype/"/>
  </ds:schemaRefs>
</ds:datastoreItem>
</file>

<file path=customXml/itemProps4.xml><?xml version="1.0" encoding="utf-8"?>
<ds:datastoreItem xmlns:ds="http://schemas.openxmlformats.org/officeDocument/2006/customXml" ds:itemID="{F50D50F4-118E-462B-9C8D-43C97A630ADE}"/>
</file>

<file path=customXml/itemProps5.xml><?xml version="1.0" encoding="utf-8"?>
<ds:datastoreItem xmlns:ds="http://schemas.openxmlformats.org/officeDocument/2006/customXml" ds:itemID="{520B0E98-1F3D-41D6-9951-5E20F7CA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2019</Template>
  <TotalTime>0</TotalTime>
  <Pages>18</Pages>
  <Words>9648</Words>
  <Characters>55000</Characters>
  <Application>Microsoft Office Word</Application>
  <DocSecurity>0</DocSecurity>
  <Lines>458</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Une reprise efficace et équitable de l’éducation – 10 principes établis par l’IE et l’OCDE</vt:lpstr>
      <vt:lpstr>Une reprise efficace et équitable de l’éducation – 10 principes établis par l’IE et l’OCDE</vt:lpstr>
    </vt:vector>
  </TitlesOfParts>
  <Company>OECD</Company>
  <LinksUpToDate>false</LinksUpToDate>
  <CharactersWithSpaces>64519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reprise efficace et équitable de l’éducation – 10 principes établis par l’IE et l’OCDE</dc:title>
  <dc:subject>10 principes</dc:subject>
  <dc:creator>Stephan.VINCENT-LANCRIN@oecd.org</dc:creator>
  <cp:keywords/>
  <dc:description/>
  <cp:lastModifiedBy>Duncan Smith</cp:lastModifiedBy>
  <cp:revision>2</cp:revision>
  <dcterms:created xsi:type="dcterms:W3CDTF">2021-04-27T12:18:00Z</dcterms:created>
  <dcterms:modified xsi:type="dcterms:W3CDTF">2021-04-27T12:18:00Z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3.20</vt:lpwstr>
  </property>
  <property fmtid="{D5CDD505-2E9C-101B-9397-08002B2CF9AE}" pid="3" name="OECDTemplateVersionOriginal">
    <vt:lpwstr>3.20</vt:lpwstr>
  </property>
  <property fmtid="{D5CDD505-2E9C-101B-9397-08002B2CF9AE}" pid="4" name="OECDTemplateName">
    <vt:lpwstr>ONE Author 2019.dotx</vt:lpwstr>
  </property>
  <property fmtid="{D5CDD505-2E9C-101B-9397-08002B2CF9AE}" pid="5" name="OECDTemplateLocation">
    <vt:lpwstr>W:\Office2016\Workgroup Templates</vt:lpwstr>
  </property>
  <property fmtid="{D5CDD505-2E9C-101B-9397-08002B2CF9AE}" pid="6" name="OECDDocumentId">
    <vt:lpwstr>4EB84742A551ADDCB7F688A51B61A986</vt:lpwstr>
  </property>
  <property fmtid="{D5CDD505-2E9C-101B-9397-08002B2CF9AE}" pid="7" name="OECDDocumentValidationErrors">
    <vt:lpwstr>0</vt:lpwstr>
  </property>
  <property fmtid="{D5CDD505-2E9C-101B-9397-08002B2CF9AE}" pid="8" name="OECDDocumentValidationWarnings">
    <vt:lpwstr>3</vt:lpwstr>
  </property>
  <property fmtid="{D5CDD505-2E9C-101B-9397-08002B2CF9AE}" pid="9" name="OECDDocumentValidationWordCount">
    <vt:lpwstr>1315</vt:lpwstr>
  </property>
  <property fmtid="{D5CDD505-2E9C-101B-9397-08002B2CF9AE}" pid="10" name="OECDDocumentValidationDate">
    <vt:lpwstr>01/04/2021 16:15:09</vt:lpwstr>
  </property>
  <property fmtid="{D5CDD505-2E9C-101B-9397-08002B2CF9AE}" pid="11" name="OECDDocumentCote">
    <vt:lpwstr/>
  </property>
  <property fmtid="{D5CDD505-2E9C-101B-9397-08002B2CF9AE}" pid="12" name="OECDDocumentDirectorate">
    <vt:lpwstr/>
  </property>
  <property fmtid="{D5CDD505-2E9C-101B-9397-08002B2CF9AE}" pid="13" name="OECDDocumentCommittee">
    <vt:lpwstr/>
  </property>
  <property fmtid="{D5CDD505-2E9C-101B-9397-08002B2CF9AE}" pid="14" name="OECDDocumentWorkingParty">
    <vt:lpwstr/>
  </property>
  <property fmtid="{D5CDD505-2E9C-101B-9397-08002B2CF9AE}" pid="15" name="OECDDocumentClassification">
    <vt:lpwstr/>
  </property>
  <property fmtid="{D5CDD505-2E9C-101B-9397-08002B2CF9AE}" pid="16" name="OECDDocumentDocumentAbstract">
    <vt:lpwstr/>
  </property>
  <property fmtid="{D5CDD505-2E9C-101B-9397-08002B2CF9AE}" pid="17" name="OECDDocumentContactInfo">
    <vt:lpwstr/>
  </property>
  <property fmtid="{D5CDD505-2E9C-101B-9397-08002B2CF9AE}" pid="18" name="OECDDocumentDocumentLanguage">
    <vt:lpwstr>English</vt:lpwstr>
  </property>
  <property fmtid="{D5CDD505-2E9C-101B-9397-08002B2CF9AE}" pid="19" name="OECDDocumentOriginalLanguage">
    <vt:lpwstr>English</vt:lpwstr>
  </property>
  <property fmtid="{D5CDD505-2E9C-101B-9397-08002B2CF9AE}" pid="20" name="ContentTypeId">
    <vt:lpwstr>0x0101009CF7BFB08FB53844BFE3EB557BCCE78D</vt:lpwstr>
  </property>
</Properties>
</file>