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0F3A2E" w14:paraId="0B21C449" w14:textId="77777777" w:rsidTr="000F3A2E">
        <w:tc>
          <w:tcPr>
            <w:tcW w:w="8400" w:type="dxa"/>
            <w:tcMar>
              <w:top w:w="270" w:type="dxa"/>
              <w:left w:w="300" w:type="dxa"/>
              <w:bottom w:w="75" w:type="dxa"/>
              <w:right w:w="300" w:type="dxa"/>
            </w:tcMar>
            <w:vAlign w:val="center"/>
            <w:hideMark/>
          </w:tcPr>
          <w:p w14:paraId="012F3570" w14:textId="77777777" w:rsidR="000F3A2E" w:rsidRDefault="000F3A2E">
            <w:pPr>
              <w:pStyle w:val="NormalWeb"/>
              <w:spacing w:before="0" w:beforeAutospacing="0" w:after="0" w:afterAutospacing="0"/>
              <w:jc w:val="center"/>
              <w:rPr>
                <w:rFonts w:ascii="Arial" w:hAnsi="Arial" w:cs="Arial"/>
                <w:color w:val="444444"/>
                <w:sz w:val="18"/>
                <w:szCs w:val="18"/>
              </w:rPr>
            </w:pPr>
            <w:r>
              <w:rPr>
                <w:rFonts w:ascii="Arial" w:hAnsi="Arial" w:cs="Arial"/>
                <w:color w:val="444444"/>
                <w:sz w:val="15"/>
                <w:szCs w:val="15"/>
              </w:rPr>
              <w:fldChar w:fldCharType="begin"/>
            </w:r>
            <w:r>
              <w:rPr>
                <w:rFonts w:ascii="Arial" w:hAnsi="Arial" w:cs="Arial"/>
                <w:color w:val="444444"/>
                <w:sz w:val="15"/>
                <w:szCs w:val="15"/>
              </w:rPr>
              <w:instrText>HYPERLINK "https://eur01.safelinks.protection.outlook.com/?url=https%3A%2F%2Furl.uk.m.mimecastprotect.com%2Fs%2FLBUSCOJNws2rJ8TkCKYq%3Fdomain%3Delinkeu.clickdimensions.com&amp;data=05%7C02%7Candrea.minchausti%40brc.org.uk%7C64d9e34e8e044e56c97908dc48265541%7C75071460b4b54635beeb37373bb2ad83%7C0%7C0%7C638464576679477749%7CUnknown%7CTWFpbGZsb3d8eyJWIjoiMC4wLjAwMDAiLCJQIjoiV2luMzIiLCJBTiI6Ik1haWwiLCJXVCI6Mn0%3D%7C0%7C%7C%7C&amp;sdata=JACl16KlJ%2FPG5rCF5k%2Foyt1IgsMFaGbIkb%2B33wCfY9I%3D&amp;reserved=0" \t "_blank"</w:instrText>
            </w:r>
            <w:r>
              <w:rPr>
                <w:rFonts w:ascii="Arial" w:hAnsi="Arial" w:cs="Arial"/>
                <w:color w:val="444444"/>
                <w:sz w:val="15"/>
                <w:szCs w:val="15"/>
              </w:rPr>
            </w:r>
            <w:r>
              <w:rPr>
                <w:rFonts w:ascii="Arial" w:hAnsi="Arial" w:cs="Arial"/>
                <w:color w:val="444444"/>
                <w:sz w:val="15"/>
                <w:szCs w:val="15"/>
              </w:rPr>
              <w:fldChar w:fldCharType="separate"/>
            </w:r>
            <w:r>
              <w:rPr>
                <w:rStyle w:val="Hyperlink"/>
                <w:rFonts w:ascii="Arial" w:hAnsi="Arial" w:cs="Arial"/>
                <w:b/>
                <w:bCs/>
                <w:color w:val="00BBCE"/>
                <w:sz w:val="15"/>
                <w:szCs w:val="15"/>
              </w:rPr>
              <w:t>View in browser</w:t>
            </w:r>
            <w:r>
              <w:rPr>
                <w:rFonts w:ascii="Arial" w:hAnsi="Arial" w:cs="Arial"/>
                <w:color w:val="444444"/>
                <w:sz w:val="15"/>
                <w:szCs w:val="15"/>
              </w:rPr>
              <w:fldChar w:fldCharType="end"/>
            </w:r>
          </w:p>
        </w:tc>
      </w:tr>
      <w:tr w:rsidR="000F3A2E" w14:paraId="5C716BF7" w14:textId="77777777" w:rsidTr="000F3A2E">
        <w:tc>
          <w:tcPr>
            <w:tcW w:w="9000" w:type="dxa"/>
            <w:shd w:val="clear" w:color="auto" w:fill="FFFFFF"/>
            <w:hideMark/>
          </w:tcPr>
          <w:p w14:paraId="2973D9A6" w14:textId="29E6774E" w:rsidR="000F3A2E" w:rsidRDefault="000F3A2E">
            <w:pPr>
              <w:jc w:val="center"/>
              <w:rPr>
                <w:rFonts w:eastAsia="Times New Roman"/>
              </w:rPr>
            </w:pPr>
            <w:r>
              <w:rPr>
                <w:rFonts w:eastAsia="Times New Roman"/>
                <w:noProof/>
                <w:color w:val="0000FF"/>
              </w:rPr>
              <w:drawing>
                <wp:inline distT="0" distB="0" distL="0" distR="0" wp14:anchorId="35F7DEE8" wp14:editId="71B52DB2">
                  <wp:extent cx="5715000" cy="1428750"/>
                  <wp:effectExtent l="0" t="0" r="0" b="0"/>
                  <wp:docPr id="1460415982" name="Picture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0F3A2E" w14:paraId="10C93818" w14:textId="77777777" w:rsidTr="000F3A2E">
        <w:tc>
          <w:tcPr>
            <w:tcW w:w="8250" w:type="dxa"/>
            <w:shd w:val="clear" w:color="auto" w:fill="FFFFFF"/>
            <w:tcMar>
              <w:top w:w="375" w:type="dxa"/>
              <w:left w:w="375" w:type="dxa"/>
              <w:bottom w:w="225" w:type="dxa"/>
              <w:right w:w="375" w:type="dxa"/>
            </w:tcMar>
            <w:vAlign w:val="center"/>
            <w:hideMark/>
          </w:tcPr>
          <w:p w14:paraId="0647BCD6" w14:textId="77777777" w:rsidR="000F3A2E" w:rsidRDefault="000F3A2E">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To: Advertising group, Food Corporate Affairs</w:t>
            </w:r>
          </w:p>
          <w:p w14:paraId="09240E4D" w14:textId="77777777" w:rsidR="000F3A2E" w:rsidRDefault="000F3A2E">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745480F" w14:textId="77777777" w:rsidR="000F3A2E" w:rsidRDefault="000F3A2E">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Hi Andrea,</w:t>
            </w:r>
          </w:p>
          <w:p w14:paraId="47EA481B" w14:textId="77777777" w:rsidR="000F3A2E" w:rsidRDefault="000F3A2E">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1DD19CA"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I had a meeting with DHSC yesterday to catch up on </w:t>
            </w:r>
            <w:proofErr w:type="gramStart"/>
            <w:r>
              <w:rPr>
                <w:rFonts w:ascii="Aptos" w:hAnsi="Aptos" w:cs="Arial"/>
                <w:color w:val="444444"/>
                <w:sz w:val="22"/>
                <w:szCs w:val="22"/>
              </w:rPr>
              <w:t>a number of</w:t>
            </w:r>
            <w:proofErr w:type="gramEnd"/>
            <w:r>
              <w:rPr>
                <w:rFonts w:ascii="Aptos" w:hAnsi="Aptos" w:cs="Arial"/>
                <w:color w:val="444444"/>
                <w:sz w:val="22"/>
                <w:szCs w:val="22"/>
              </w:rPr>
              <w:t xml:space="preserve"> issues.</w:t>
            </w:r>
          </w:p>
          <w:p w14:paraId="1A331607"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I asked about the secondary legislation on food advertising. </w:t>
            </w:r>
          </w:p>
          <w:p w14:paraId="34E0D480"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304507B2"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They explained they are working at pace on the summary of responses to the consultation and the Government response. They are not yet at a stage where this can go through clearing, so it unlikely to be published until May the earliest. </w:t>
            </w:r>
          </w:p>
          <w:p w14:paraId="6344FF4B"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6902D2F6"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This will provide all the detail information you need on the exemptions, and the foods covered in the scope of the provisions. </w:t>
            </w:r>
          </w:p>
          <w:p w14:paraId="2C6404BB"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141639DA"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Specifically on the foods, they have confirmed they are working to completely align the products in scope and the text in the Regulation with the text in The Food (Promotions &amp; Placement) Regulations 2021. There are two additions to this list compared with ‘promotions’ – these are loose foods in all the categories in scope and sandwiches. </w:t>
            </w:r>
          </w:p>
          <w:p w14:paraId="33B61159"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6AC4632A"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The not so good news is that they will not lay the draft Regulation in Parliament before the summer recess. They argue that the Parliamentary timetable is already full and will not be able to get it in. </w:t>
            </w:r>
          </w:p>
          <w:p w14:paraId="0B1D2850"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78A047AC"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This brings some concerns: </w:t>
            </w:r>
          </w:p>
          <w:p w14:paraId="37EA7DAF"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39E46124" w14:textId="77777777" w:rsidR="000F3A2E" w:rsidRDefault="000F3A2E" w:rsidP="006425C8">
            <w:pPr>
              <w:numPr>
                <w:ilvl w:val="0"/>
                <w:numId w:val="1"/>
              </w:numPr>
              <w:spacing w:before="100" w:beforeAutospacing="1" w:after="100" w:afterAutospacing="1"/>
              <w:jc w:val="both"/>
              <w:rPr>
                <w:rFonts w:ascii="Arial" w:eastAsia="Times New Roman" w:hAnsi="Arial" w:cs="Arial"/>
                <w:color w:val="444444"/>
                <w:sz w:val="18"/>
                <w:szCs w:val="18"/>
              </w:rPr>
            </w:pPr>
            <w:r>
              <w:rPr>
                <w:rFonts w:ascii="Aptos" w:eastAsia="Times New Roman" w:hAnsi="Aptos" w:cs="Arial"/>
                <w:color w:val="444444"/>
                <w:sz w:val="22"/>
                <w:szCs w:val="22"/>
              </w:rPr>
              <w:t xml:space="preserve">You will lack the legislative tool to frame the discussions with suppliers, especially with some of those who are still saying this Regulation will never be implemented. </w:t>
            </w:r>
          </w:p>
          <w:p w14:paraId="096F6F42" w14:textId="77777777" w:rsidR="000F3A2E" w:rsidRDefault="000F3A2E" w:rsidP="006425C8">
            <w:pPr>
              <w:numPr>
                <w:ilvl w:val="0"/>
                <w:numId w:val="1"/>
              </w:numPr>
              <w:spacing w:before="100" w:beforeAutospacing="1" w:after="100" w:afterAutospacing="1"/>
              <w:jc w:val="both"/>
              <w:rPr>
                <w:rFonts w:ascii="Arial" w:eastAsia="Times New Roman" w:hAnsi="Arial" w:cs="Arial"/>
                <w:color w:val="444444"/>
                <w:sz w:val="18"/>
                <w:szCs w:val="18"/>
              </w:rPr>
            </w:pPr>
            <w:r>
              <w:rPr>
                <w:rFonts w:ascii="Aptos" w:eastAsia="Times New Roman" w:hAnsi="Aptos" w:cs="Arial"/>
                <w:color w:val="444444"/>
                <w:sz w:val="22"/>
                <w:szCs w:val="22"/>
              </w:rPr>
              <w:t>If an election is called and we go into Purdah straight after the summer recess, there will not be a chance to lay the Regs until after the election. If a different political party was to win, they may have a different view on some of the details, e.g., some of the exemptions.</w:t>
            </w:r>
          </w:p>
          <w:p w14:paraId="130BEDE7"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4BB26FDD"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We will continue to put pressure on the Government and emphasise how important it is to get the secondary legislation as soon as possible. </w:t>
            </w:r>
          </w:p>
          <w:p w14:paraId="177A4CED"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49E5D931"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 xml:space="preserve">Best regards, </w:t>
            </w:r>
          </w:p>
          <w:p w14:paraId="11CA1661" w14:textId="77777777" w:rsidR="000F3A2E" w:rsidRDefault="000F3A2E">
            <w:pPr>
              <w:pStyle w:val="NormalWeb"/>
              <w:spacing w:before="0" w:beforeAutospacing="0" w:after="0" w:afterAutospacing="0"/>
              <w:jc w:val="both"/>
              <w:rPr>
                <w:rFonts w:ascii="Arial" w:hAnsi="Arial" w:cs="Arial"/>
                <w:color w:val="444444"/>
                <w:sz w:val="18"/>
                <w:szCs w:val="18"/>
              </w:rPr>
            </w:pPr>
            <w:r>
              <w:rPr>
                <w:rFonts w:ascii="Aptos" w:hAnsi="Aptos" w:cs="Arial"/>
                <w:color w:val="444444"/>
                <w:sz w:val="22"/>
                <w:szCs w:val="22"/>
              </w:rPr>
              <w:t>Andrea</w:t>
            </w:r>
          </w:p>
        </w:tc>
      </w:tr>
    </w:tbl>
    <w:p w14:paraId="2C642387" w14:textId="77777777" w:rsidR="004B4A03" w:rsidRPr="000F3A2E" w:rsidRDefault="004B4A03" w:rsidP="000F3A2E"/>
    <w:sectPr w:rsidR="004B4A03" w:rsidRPr="000F3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6CDB"/>
    <w:multiLevelType w:val="multilevel"/>
    <w:tmpl w:val="D9B81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26712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2E"/>
    <w:rsid w:val="000F3A2E"/>
    <w:rsid w:val="001C3AF7"/>
    <w:rsid w:val="004B4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3913"/>
  <w15:chartTrackingRefBased/>
  <w15:docId w15:val="{29E5CBCF-65C9-42D4-967B-F5A41ED7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2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F3A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3A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3A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3A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3A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3A2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3A2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3A2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3A2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A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3A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3A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3A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3A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3A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3A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3A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3A2E"/>
    <w:rPr>
      <w:rFonts w:eastAsiaTheme="majorEastAsia" w:cstheme="majorBidi"/>
      <w:color w:val="272727" w:themeColor="text1" w:themeTint="D8"/>
    </w:rPr>
  </w:style>
  <w:style w:type="paragraph" w:styleId="Title">
    <w:name w:val="Title"/>
    <w:basedOn w:val="Normal"/>
    <w:next w:val="Normal"/>
    <w:link w:val="TitleChar"/>
    <w:uiPriority w:val="10"/>
    <w:qFormat/>
    <w:rsid w:val="000F3A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A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3A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3A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3A2E"/>
    <w:pPr>
      <w:spacing w:before="160"/>
      <w:jc w:val="center"/>
    </w:pPr>
    <w:rPr>
      <w:i/>
      <w:iCs/>
      <w:color w:val="404040" w:themeColor="text1" w:themeTint="BF"/>
    </w:rPr>
  </w:style>
  <w:style w:type="character" w:customStyle="1" w:styleId="QuoteChar">
    <w:name w:val="Quote Char"/>
    <w:basedOn w:val="DefaultParagraphFont"/>
    <w:link w:val="Quote"/>
    <w:uiPriority w:val="29"/>
    <w:rsid w:val="000F3A2E"/>
    <w:rPr>
      <w:i/>
      <w:iCs/>
      <w:color w:val="404040" w:themeColor="text1" w:themeTint="BF"/>
    </w:rPr>
  </w:style>
  <w:style w:type="paragraph" w:styleId="ListParagraph">
    <w:name w:val="List Paragraph"/>
    <w:basedOn w:val="Normal"/>
    <w:uiPriority w:val="34"/>
    <w:qFormat/>
    <w:rsid w:val="000F3A2E"/>
    <w:pPr>
      <w:ind w:left="720"/>
      <w:contextualSpacing/>
    </w:pPr>
  </w:style>
  <w:style w:type="character" w:styleId="IntenseEmphasis">
    <w:name w:val="Intense Emphasis"/>
    <w:basedOn w:val="DefaultParagraphFont"/>
    <w:uiPriority w:val="21"/>
    <w:qFormat/>
    <w:rsid w:val="000F3A2E"/>
    <w:rPr>
      <w:i/>
      <w:iCs/>
      <w:color w:val="0F4761" w:themeColor="accent1" w:themeShade="BF"/>
    </w:rPr>
  </w:style>
  <w:style w:type="paragraph" w:styleId="IntenseQuote">
    <w:name w:val="Intense Quote"/>
    <w:basedOn w:val="Normal"/>
    <w:next w:val="Normal"/>
    <w:link w:val="IntenseQuoteChar"/>
    <w:uiPriority w:val="30"/>
    <w:qFormat/>
    <w:rsid w:val="000F3A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3A2E"/>
    <w:rPr>
      <w:i/>
      <w:iCs/>
      <w:color w:val="0F4761" w:themeColor="accent1" w:themeShade="BF"/>
    </w:rPr>
  </w:style>
  <w:style w:type="character" w:styleId="IntenseReference">
    <w:name w:val="Intense Reference"/>
    <w:basedOn w:val="DefaultParagraphFont"/>
    <w:uiPriority w:val="32"/>
    <w:qFormat/>
    <w:rsid w:val="000F3A2E"/>
    <w:rPr>
      <w:b/>
      <w:bCs/>
      <w:smallCaps/>
      <w:color w:val="0F4761" w:themeColor="accent1" w:themeShade="BF"/>
      <w:spacing w:val="5"/>
    </w:rPr>
  </w:style>
  <w:style w:type="character" w:styleId="Hyperlink">
    <w:name w:val="Hyperlink"/>
    <w:basedOn w:val="DefaultParagraphFont"/>
    <w:uiPriority w:val="99"/>
    <w:semiHidden/>
    <w:unhideWhenUsed/>
    <w:rsid w:val="000F3A2E"/>
    <w:rPr>
      <w:color w:val="0000FF"/>
      <w:u w:val="single"/>
    </w:rPr>
  </w:style>
  <w:style w:type="paragraph" w:styleId="NormalWeb">
    <w:name w:val="Normal (Web)"/>
    <w:basedOn w:val="Normal"/>
    <w:uiPriority w:val="99"/>
    <w:semiHidden/>
    <w:unhideWhenUsed/>
    <w:rsid w:val="000F3A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u-west-2.api.getmessagecontrol.com/onprem_image_fetch?dep=bHrtA1D6YiZ9s6w29tfF4A%3D%3DIsOyVxAv3QJmYh%2F1LR5ETkHXYUgm%2Fe7ZQw%2BFFpkWJHJpruWiA1wTP02UWvSwGtRQn2u9W342RB5fhM9ioZvmT1digUOsH7unxqb2Uz5nqY3zN0hu8T6veMNu%2BcOnKO9zwd5n15mr6LfzqLEdM8FXBPoDiuuI0OfYQEtOt6gtcXXkgErMlnmTbQSmWDWRCbu5ydMWe5pu1vkCFoz4kq1gQsLJ7dW%2Fzi57Rw%2FLhxbGnOC4%2BiTNL2Z2%2BFQDxS0JPGy0YxFrZWY3E6YcPEhSL0WYaJ3VjuZs5N%2Bkws1guZ3LKKoVgv9kcMuuejuG7eM6GgynhMoGLz3KOooVmNfQgChMDS2sb1SqcW46e5XE8SWbMIuBB8j3GecH101rJ9r6ojedSrIxGGmIwnqPcM%2FMGkJOfw%3D%3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eur01.safelinks.protection.outlook.com/?url=https%3A%2F%2Furl.uk.m.mimecastprotect.com%2Fs%2FnfVFCP6Oxc5AOwhjEf_Y%3Fdomain%3Delinkeu.clickdimensions.com&amp;data=05%7C02%7Candrea.minchausti%40brc.org.uk%7C64d9e34e8e044e56c97908dc48265541%7C75071460b4b54635beeb37373bb2ad83%7C0%7C0%7C638464576679484856%7CUnknown%7CTWFpbGZsb3d8eyJWIjoiMC4wLjAwMDAiLCJQIjoiV2luMzIiLCJBTiI6Ik1haWwiLCJXVCI6Mn0%3D%7C0%7C%7C%7C&amp;sdata=61WzIoPrd8egeK%2FOPa3bYWujFIauaAK5v9DSD4A%2F%2ByM%3D&amp;reserved=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7" ma:contentTypeDescription="Create a new document." ma:contentTypeScope="" ma:versionID="2efa53449c11e2e7ca58ebaddbfddfd2">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a178036246420704c12ecfddcd5f9746"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88bdfd3-a767-4fae-8a22-37cc2a57d764}" ma:internalName="TaxCatchAll" ma:showField="CatchAllData" ma:web="9a201c5f-bc3e-4d95-a623-0141037116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8ce6dd-a231-4ca1-8534-b387953dbe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201c5f-bc3e-4d95-a623-0141037116a0" xsi:nil="true"/>
    <lcf76f155ced4ddcb4097134ff3c332f xmlns="3605accd-515b-4391-9c17-ddcb5c3c0e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84540-7528-428F-96CA-76470876ADA1}"/>
</file>

<file path=customXml/itemProps2.xml><?xml version="1.0" encoding="utf-8"?>
<ds:datastoreItem xmlns:ds="http://schemas.openxmlformats.org/officeDocument/2006/customXml" ds:itemID="{09B59484-4390-4037-A337-8EE0833604FC}"/>
</file>

<file path=customXml/itemProps3.xml><?xml version="1.0" encoding="utf-8"?>
<ds:datastoreItem xmlns:ds="http://schemas.openxmlformats.org/officeDocument/2006/customXml" ds:itemID="{E421530F-5004-4CB3-9266-20D75164FCA5}"/>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Inchausti | BRC</dc:creator>
  <cp:keywords/>
  <dc:description/>
  <cp:lastModifiedBy>Andrea M Inchausti | BRC</cp:lastModifiedBy>
  <cp:revision>1</cp:revision>
  <dcterms:created xsi:type="dcterms:W3CDTF">2024-03-19T15:27:00Z</dcterms:created>
  <dcterms:modified xsi:type="dcterms:W3CDTF">2024-03-19T15:28:00Z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